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ody>
    <w:p>
      <w:pPr>
        <w:pStyle w:val="15"/>
        <w:jc w:val="center"/>
        <w:rPr>
          <w:rFonts w:eastAsia="黑体"/>
          <w:sz w:val="48"/>
          <w:szCs w:val="48"/>
        </w:rPr>
      </w:pPr>
      <w:bookmarkStart w:id="0" w:name="a000"/>
      <w:r>
        <w:rPr>
          <w:rFonts w:eastAsia="黑体"/>
          <w:sz w:val="48"/>
          <w:szCs w:val="48"/>
        </w:rPr>
        <w:t xml:space="preserve">       </w:t>
      </w:r>
    </w:p>
    <w:p>
      <w:pPr>
        <w:pStyle w:val="15"/>
        <w:jc w:val="center"/>
        <w:rPr>
          <w:rFonts w:eastAsia="黑体"/>
          <w:sz w:val="48"/>
          <w:szCs w:val="48"/>
        </w:rPr>
      </w:pPr>
      <w:r>
        <w:rPr>
          <w:rFonts w:eastAsia="黑体"/>
          <w:sz w:val="48"/>
          <w:szCs w:val="48"/>
          <w:lang w:val="en-US" w:eastAsia="zh-CN"/>
        </w:rPr>
        <w:t xml:space="preserve">                 </w:t>
      </w:r>
    </w:p>
    <w:p>
      <w:pPr>
        <w:pStyle w:val="15"/>
        <w:jc w:val="center"/>
        <w:rPr>
          <w:rFonts w:eastAsia="黑体"/>
          <w:sz w:val="48"/>
          <w:szCs w:val="48"/>
        </w:rPr>
      </w:pPr>
      <w:r>
        <w:rPr>
          <w:rFonts w:eastAsia="黑体"/>
          <w:sz w:val="48"/>
          <w:szCs w:val="48"/>
        </w:rPr>
        <w:t xml:space="preserve">                   </w:t>
      </w:r>
    </w:p>
    <w:p>
      <w:pPr>
        <w:pStyle w:val="15"/>
        <w:jc w:val="center"/>
        <w:rPr>
          <w:rFonts w:eastAsia="方正小标宋_GBK"/>
          <w:sz w:val="44"/>
          <w:szCs w:val="44"/>
        </w:rPr>
      </w:pPr>
    </w:p>
    <w:p>
      <w:pPr>
        <w:pStyle w:val="15"/>
        <w:jc w:val="center"/>
        <w:rPr>
          <w:rFonts w:eastAsia="方正小标宋_GBK"/>
          <w:color w:val="4F81BD"/>
          <w:sz w:val="44"/>
          <w:szCs w:val="44"/>
        </w:rPr>
      </w:pPr>
    </w:p>
    <w:p>
      <w:pPr>
        <w:pStyle w:val="15"/>
        <w:spacing w:beforeAutospacing="0" w:afterAutospacing="0" w:line="480" w:lineRule="auto"/>
        <w:jc w:val="center"/>
        <w:rPr>
          <w:rFonts w:ascii="方正隶书_GBK" w:eastAsia="方正隶书_GBK" w:cs="方正隶书_GBK" w:hint="eastAsia"/>
          <w:color w:val="366092"/>
          <w:sz w:val="52"/>
          <w:szCs w:val="52"/>
        </w:rPr>
      </w:pPr>
      <w:r>
        <w:rPr>
          <w:rFonts w:ascii="方正隶书_GBK" w:eastAsia="方正隶书_GBK" w:cs="方正隶书_GBK" w:hint="eastAsia"/>
          <w:b/>
          <w:bCs/>
          <w:color w:val="366092"/>
          <w:sz w:val="52"/>
          <w:szCs w:val="52"/>
        </w:rPr>
        <w:t>2025</w:t>
      </w:r>
      <w:r>
        <w:rPr>
          <w:rFonts w:ascii="方正隶书_GBK" w:eastAsia="方正隶书_GBK" w:cs="方正隶书_GBK" w:hint="eastAsia"/>
          <w:color w:val="366092"/>
          <w:sz w:val="52"/>
          <w:szCs w:val="52"/>
        </w:rPr>
        <w:t>年度</w:t>
      </w:r>
    </w:p>
    <w:p>
      <w:pPr>
        <w:pStyle w:val="15"/>
        <w:spacing w:beforeAutospacing="0" w:afterAutospacing="0" w:line="480" w:lineRule="auto"/>
        <w:jc w:val="center"/>
        <w:rPr>
          <w:rFonts w:ascii="方正隶书_GBK" w:eastAsia="方正隶书_GBK" w:cs="方正隶书_GBK" w:hint="eastAsia"/>
          <w:color w:val="366092"/>
          <w:sz w:val="52"/>
          <w:szCs w:val="52"/>
        </w:rPr>
      </w:pPr>
      <w:r>
        <w:rPr>
          <w:rFonts w:ascii="方正隶书_GBK" w:eastAsia="方正隶书_GBK" w:cs="方正隶书_GBK" w:hint="eastAsia"/>
          <w:color w:val="366092"/>
          <w:sz w:val="52"/>
          <w:szCs w:val="52"/>
        </w:rPr>
        <w:t>中国电子口岸数据中心太原分中心部门决算</w:t>
      </w:r>
    </w:p>
    <w:p>
      <w:pPr>
        <w:pStyle w:val="1"/>
        <w:keepNext w:val="0"/>
        <w:keepLines w:val="0"/>
        <w:widowControl/>
        <w:spacing w:before="0" w:after="322"/>
        <w:jc w:val="center"/>
        <w:rPr>
          <w:rFonts w:ascii="方正隶书_GBK" w:eastAsia="方正隶书_GBK" w:cs="方正隶书_GBK" w:hAnsi="Times New Roman" w:hint="eastAsia"/>
          <w:color w:val="auto"/>
          <w:kern w:val="36"/>
          <w:sz w:val="52"/>
          <w:szCs w:val="52"/>
        </w:rPr>
      </w:pPr>
    </w:p>
    <w:p>
      <w:pPr>
        <w:pStyle w:val="18"/>
        <w:autoSpaceDN w:val="0"/>
        <w:ind w:firstLineChars="850" w:firstLine="3740"/>
        <w:rPr>
          <w:b/>
          <w:bCs/>
          <w:sz w:val="44"/>
          <w:szCs w:val="44"/>
        </w:rPr>
      </w:pPr>
    </w:p>
    <w:p>
      <w:pPr>
        <w:pStyle w:val="18"/>
        <w:autoSpaceDN w:val="0"/>
        <w:ind w:firstLineChars="850" w:firstLine="3740"/>
        <w:rPr>
          <w:b/>
          <w:bCs/>
          <w:sz w:val="44"/>
          <w:szCs w:val="44"/>
        </w:rPr>
      </w:pPr>
    </w:p>
    <w:p>
      <w:pPr>
        <w:pStyle w:val="18"/>
        <w:autoSpaceDN w:val="0"/>
        <w:ind w:firstLineChars="850" w:firstLine="3740"/>
        <w:rPr>
          <w:b/>
          <w:bCs/>
          <w:sz w:val="44"/>
          <w:szCs w:val="44"/>
        </w:rPr>
      </w:pPr>
    </w:p>
    <w:p>
      <w:pPr>
        <w:pStyle w:val="18"/>
        <w:autoSpaceDN w:val="0"/>
        <w:ind w:left="0"/>
        <w:rPr>
          <w:b/>
          <w:bCs/>
          <w:sz w:val="44"/>
          <w:szCs w:val="44"/>
        </w:rPr>
      </w:pPr>
    </w:p>
    <w:p>
      <w:pPr>
        <w:pStyle w:val="18"/>
        <w:autoSpaceDN w:val="0"/>
        <w:ind w:firstLineChars="850" w:firstLine="4080"/>
        <w:rPr>
          <w:b/>
          <w:bCs/>
          <w:sz w:val="48"/>
          <w:szCs w:val="48"/>
        </w:rPr>
      </w:pPr>
    </w:p>
    <w:p>
      <w:pPr>
        <w:pStyle w:val="18"/>
        <w:autoSpaceDN w:val="0"/>
        <w:ind w:firstLineChars="850" w:firstLine="4080"/>
        <w:rPr>
          <w:b/>
          <w:bCs/>
          <w:sz w:val="48"/>
          <w:szCs w:val="48"/>
        </w:rPr>
      </w:pPr>
    </w:p>
    <w:p>
      <w:pPr>
        <w:pStyle w:val="18"/>
        <w:autoSpaceDN w:val="0"/>
        <w:ind w:firstLineChars="850" w:firstLine="4080"/>
        <w:rPr>
          <w:b/>
          <w:bCs/>
          <w:sz w:val="48"/>
          <w:szCs w:val="48"/>
        </w:rPr>
      </w:pPr>
    </w:p>
    <w:p>
      <w:pPr>
        <w:pStyle w:val="18"/>
        <w:autoSpaceDN w:val="0"/>
        <w:ind w:firstLineChars="850" w:firstLine="4080"/>
        <w:rPr>
          <w:b/>
          <w:bCs/>
          <w:sz w:val="48"/>
          <w:szCs w:val="48"/>
        </w:rPr>
      </w:pPr>
    </w:p>
    <w:p>
      <w:pPr>
        <w:pStyle w:val="18"/>
        <w:autoSpaceDN w:val="0"/>
        <w:ind w:firstLineChars="850" w:firstLine="4080"/>
        <w:rPr>
          <w:b/>
          <w:bCs/>
          <w:sz w:val="48"/>
          <w:szCs w:val="48"/>
        </w:rPr>
      </w:pPr>
    </w:p>
    <w:p>
      <w:pPr>
        <w:pStyle w:val="18"/>
        <w:autoSpaceDN w:val="0"/>
        <w:ind w:left="0"/>
        <w:rPr>
          <w:b/>
          <w:bCs/>
          <w:sz w:val="48"/>
          <w:szCs w:val="48"/>
        </w:rPr>
      </w:pPr>
    </w:p>
    <w:p>
      <w:pPr>
        <w:pStyle w:val="18"/>
        <w:autoSpaceDN w:val="0"/>
        <w:spacing w:beforeAutospacing="0" w:afterAutospacing="0" w:line="480" w:lineRule="auto"/>
        <w:ind w:left="0"/>
        <w:jc w:val="center"/>
        <w:rPr>
          <w:rFonts w:ascii="方正黑体_GBK" w:eastAsia="方正黑体_GBK" w:cs="方正黑体_GBK"/>
          <w:sz w:val="30"/>
          <w:szCs w:val="30"/>
        </w:rPr>
      </w:pPr>
    </w:p>
    <w:p>
      <w:pPr>
        <w:pStyle w:val="18"/>
        <w:autoSpaceDN w:val="0"/>
        <w:spacing w:beforeAutospacing="0" w:afterAutospacing="0" w:line="1360" w:lineRule="exact"/>
        <w:ind w:left="0"/>
        <w:jc w:val="center"/>
        <w:rPr>
          <w:rFonts w:ascii="方正黑体_GBK" w:eastAsia="方正黑体_GBK" w:cs="方正黑体_GBK" w:hint="eastAsia"/>
          <w:sz w:val="52"/>
          <w:szCs w:val="52"/>
        </w:rPr>
      </w:pPr>
      <w:r>
        <w:rPr>
          <w:rFonts w:ascii="方正黑体_GBK" w:eastAsia="方正黑体_GBK" w:cs="方正黑体_GBK" w:hint="eastAsia"/>
          <w:sz w:val="52"/>
          <w:szCs w:val="52"/>
        </w:rPr>
        <w:t>目  录</w:t>
      </w:r>
    </w:p>
    <w:p>
      <w:pPr>
        <w:pStyle w:val="18"/>
        <w:autoSpaceDN w:val="0"/>
        <w:spacing w:beforeAutospacing="0" w:afterAutospacing="0" w:line="560" w:lineRule="exact"/>
        <w:rPr>
          <w:rFonts w:ascii="方正黑体_GBK" w:eastAsia="方正黑体_GBK" w:cs="方正黑体_GBK" w:hint="eastAsia"/>
          <w:sz w:val="32"/>
          <w:szCs w:val="32"/>
        </w:rPr>
      </w:pPr>
      <w:r>
        <w:rPr>
          <w:rFonts w:ascii="方正黑体_GBK" w:eastAsia="方正黑体_GBK" w:cs="方正黑体_GBK" w:hint="eastAsia"/>
          <w:sz w:val="32"/>
          <w:szCs w:val="32"/>
        </w:rPr>
        <w:t>第一部分  中国电子口岸数据中心太原分中心概况</w:t>
      </w:r>
    </w:p>
    <w:p>
      <w:pPr>
        <w:pStyle w:val="18"/>
        <w:autoSpaceDN w:val="0"/>
        <w:spacing w:beforeAutospacing="0" w:afterAutospacing="0" w:line="560" w:lineRule="exact"/>
        <w:ind w:left="0"/>
        <w:rPr>
          <w:rFonts w:eastAsia="方正仿宋_GBK"/>
          <w:sz w:val="32"/>
          <w:szCs w:val="32"/>
        </w:rPr>
      </w:pPr>
      <w:r>
        <w:rPr>
          <w:rFonts w:eastAsia="方正仿宋_GBK"/>
          <w:sz w:val="32"/>
          <w:szCs w:val="32"/>
        </w:rPr>
        <w:t>一、主要职责</w:t>
      </w:r>
    </w:p>
    <w:p>
      <w:pPr>
        <w:pStyle w:val="18"/>
        <w:autoSpaceDN w:val="0"/>
        <w:spacing w:beforeAutospacing="0" w:afterAutospacing="0" w:line="560" w:lineRule="exact"/>
        <w:ind w:left="0"/>
        <w:rPr>
          <w:rFonts w:eastAsia="方正仿宋_GBK"/>
          <w:sz w:val="32"/>
          <w:szCs w:val="32"/>
        </w:rPr>
      </w:pPr>
      <w:r>
        <w:rPr>
          <w:rFonts w:eastAsia="方正仿宋_GBK"/>
          <w:sz w:val="32"/>
          <w:szCs w:val="32"/>
        </w:rPr>
        <w:t>二、机构设置</w:t>
      </w:r>
    </w:p>
    <w:p>
      <w:pPr>
        <w:pStyle w:val="18"/>
        <w:autoSpaceDN w:val="0"/>
        <w:spacing w:beforeAutospacing="0" w:afterAutospacing="0" w:line="560" w:lineRule="exact"/>
        <w:rPr>
          <w:rFonts w:ascii="方正黑体_GBK" w:eastAsia="方正黑体_GBK" w:cs="方正黑体_GBK" w:hint="eastAsia"/>
          <w:sz w:val="32"/>
          <w:szCs w:val="32"/>
        </w:rPr>
      </w:pPr>
      <w:r>
        <w:rPr>
          <w:rFonts w:ascii="方正黑体_GBK" w:eastAsia="方正黑体_GBK" w:cs="方正黑体_GBK" w:hint="eastAsia"/>
          <w:sz w:val="32"/>
          <w:szCs w:val="32"/>
        </w:rPr>
        <w:t>第二部分  2025年度部门决算表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一、收入支出决算总表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二、收入决算表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三、支出决算表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四、财政拨款收入支出决算总表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五、一般公共预算财政拨款支出决算表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六、一般公共预算财政拨款基本支出决算明细表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七、政府性基金预算财政拨款收入支出决算表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八、国有资本经营预算财政拨款支出决算表</w:t>
      </w:r>
    </w:p>
    <w:p>
      <w:pPr>
        <w:pStyle w:val="30"/>
        <w:autoSpaceDN w:val="0"/>
        <w:spacing w:beforeAutospacing="0" w:afterAutospacing="0" w:line="560" w:lineRule="exact"/>
        <w:ind w:left="0"/>
        <w:rPr>
          <w:rFonts w:eastAsia="方正仿宋_GBK"/>
          <w:sz w:val="32"/>
          <w:szCs w:val="32"/>
        </w:rPr>
      </w:pPr>
      <w:r>
        <w:rPr>
          <w:rFonts w:eastAsia="方正仿宋_GBK"/>
          <w:sz w:val="32"/>
          <w:szCs w:val="32"/>
        </w:rPr>
        <w:t>九、财政拨款“三公经费”支出决算表</w:t>
      </w:r>
    </w:p>
    <w:p>
      <w:pPr>
        <w:pStyle w:val="18"/>
        <w:autoSpaceDN w:val="0"/>
        <w:spacing w:beforeAutospacing="0" w:afterAutospacing="0" w:line="560" w:lineRule="exact"/>
        <w:rPr>
          <w:rFonts w:ascii="方正黑体_GBK" w:eastAsia="方正黑体_GBK" w:cs="方正黑体_GBK" w:hint="eastAsia"/>
          <w:sz w:val="32"/>
          <w:szCs w:val="32"/>
        </w:rPr>
      </w:pPr>
      <w:r>
        <w:rPr>
          <w:rFonts w:ascii="方正黑体_GBK" w:eastAsia="方正黑体_GBK" w:cs="方正黑体_GBK" w:hint="eastAsia"/>
          <w:sz w:val="32"/>
          <w:szCs w:val="32"/>
        </w:rPr>
        <w:t>第三部分  2025年度部门决算情况说明</w:t>
      </w:r>
    </w:p>
    <w:p>
      <w:pPr>
        <w:pStyle w:val="18"/>
        <w:autoSpaceDN w:val="0"/>
        <w:spacing w:beforeAutospacing="0" w:afterAutospacing="0" w:line="560" w:lineRule="exact"/>
        <w:ind w:left="0"/>
        <w:rPr>
          <w:rFonts w:eastAsia="方正仿宋_GBK"/>
          <w:sz w:val="32"/>
          <w:szCs w:val="32"/>
        </w:rPr>
      </w:pPr>
      <w:r>
        <w:rPr>
          <w:rFonts w:eastAsia="方正仿宋_GBK"/>
          <w:sz w:val="32"/>
          <w:szCs w:val="32"/>
        </w:rPr>
        <w:t>一、收入支出决算总体情况说明</w:t>
      </w:r>
    </w:p>
    <w:p>
      <w:pPr>
        <w:pStyle w:val="18"/>
        <w:autoSpaceDN w:val="0"/>
        <w:spacing w:beforeAutospacing="0" w:afterAutospacing="0" w:line="560" w:lineRule="exact"/>
        <w:ind w:left="0"/>
        <w:rPr>
          <w:rFonts w:eastAsia="方正仿宋_GBK"/>
          <w:sz w:val="32"/>
          <w:szCs w:val="32"/>
        </w:rPr>
      </w:pPr>
      <w:r>
        <w:rPr>
          <w:rFonts w:eastAsia="方正仿宋_GBK"/>
          <w:sz w:val="32"/>
          <w:szCs w:val="32"/>
        </w:rPr>
        <w:t>二、收入决算情况说明</w:t>
      </w:r>
    </w:p>
    <w:p>
      <w:pPr>
        <w:pStyle w:val="18"/>
        <w:autoSpaceDN w:val="0"/>
        <w:spacing w:beforeAutospacing="0" w:afterAutospacing="0" w:line="560" w:lineRule="exact"/>
        <w:ind w:left="0"/>
        <w:rPr>
          <w:rFonts w:eastAsia="方正仿宋_GBK"/>
          <w:sz w:val="32"/>
          <w:szCs w:val="32"/>
        </w:rPr>
      </w:pPr>
      <w:r>
        <w:rPr>
          <w:rFonts w:eastAsia="方正仿宋_GBK"/>
          <w:sz w:val="32"/>
          <w:szCs w:val="32"/>
        </w:rPr>
        <w:t>三、支出决算情况说明</w:t>
      </w:r>
    </w:p>
    <w:p>
      <w:pPr>
        <w:pStyle w:val="18"/>
        <w:autoSpaceDN w:val="0"/>
        <w:spacing w:beforeAutospacing="0" w:afterAutospacing="0" w:line="560" w:lineRule="exact"/>
        <w:ind w:left="0"/>
        <w:rPr>
          <w:rFonts w:eastAsia="方正仿宋_GBK"/>
          <w:sz w:val="32"/>
          <w:szCs w:val="32"/>
        </w:rPr>
      </w:pPr>
      <w:r>
        <w:rPr>
          <w:rFonts w:eastAsia="方正仿宋_GBK"/>
          <w:sz w:val="32"/>
          <w:szCs w:val="32"/>
        </w:rPr>
        <w:t>四、其他重要事项情况说明</w:t>
      </w:r>
    </w:p>
    <w:p>
      <w:pPr>
        <w:pStyle w:val="18"/>
        <w:autoSpaceDN w:val="0"/>
        <w:spacing w:beforeAutospacing="0" w:afterAutospacing="0" w:line="560" w:lineRule="exact"/>
        <w:rPr>
          <w:rFonts w:ascii="方正黑体_GBK" w:eastAsia="方正黑体_GBK" w:cs="方正黑体_GBK" w:hint="eastAsia"/>
          <w:sz w:val="32"/>
          <w:szCs w:val="32"/>
        </w:rPr>
      </w:pPr>
      <w:r>
        <w:rPr>
          <w:rFonts w:ascii="方正黑体_GBK" w:eastAsia="方正黑体_GBK" w:cs="方正黑体_GBK" w:hint="eastAsia"/>
          <w:sz w:val="32"/>
          <w:szCs w:val="32"/>
        </w:rPr>
        <w:t>第四部分 名词解释</w:t>
      </w:r>
    </w:p>
    <w:p>
      <w:pPr>
        <w:pStyle w:val="18"/>
        <w:autoSpaceDN w:val="0"/>
        <w:rPr>
          <w:rFonts w:eastAsia="方正仿宋_GBK"/>
          <w:b/>
          <w:bCs/>
          <w:sz w:val="36"/>
          <w:szCs w:val="36"/>
        </w:rPr>
      </w:pPr>
    </w:p>
    <w:p>
      <w:pPr>
        <w:pStyle w:val="1"/>
        <w:keepNext w:val="0"/>
        <w:keepLines w:val="0"/>
        <w:widowControl/>
        <w:spacing w:before="0" w:after="322"/>
        <w:jc w:val="center"/>
        <w:rPr>
          <w:rFonts w:ascii="Times New Roman" w:eastAsia="SimSun" w:hAnsi="Times New Roman"/>
          <w:color w:val="auto"/>
          <w:kern w:val="36"/>
          <w:sz w:val="48"/>
          <w:szCs w:val="48"/>
        </w:rPr>
      </w:pPr>
    </w:p>
    <w:p>
      <w:pPr>
        <w:pStyle w:val="1"/>
        <w:keepNext w:val="0"/>
        <w:keepLines w:val="0"/>
        <w:widowControl/>
        <w:spacing w:before="0" w:after="322"/>
        <w:jc w:val="center"/>
        <w:rPr>
          <w:rFonts w:ascii="Times New Roman" w:eastAsia="SimSun" w:hAnsi="Times New Roman"/>
          <w:color w:val="auto"/>
          <w:kern w:val="36"/>
          <w:sz w:val="48"/>
          <w:szCs w:val="48"/>
        </w:rPr>
      </w:pPr>
    </w:p>
    <w:p>
      <w:pPr>
        <w:pStyle w:val="2"/>
        <w:keepNext w:val="0"/>
        <w:keepLines w:val="0"/>
        <w:widowControl/>
        <w:spacing w:before="299" w:after="299"/>
        <w:ind w:left="0"/>
        <w:jc w:val="center"/>
        <w:rPr>
          <w:rFonts w:ascii="方正黑体_GBK" w:eastAsia="方正黑体_GBK" w:cs="方正黑体_GBK" w:hAnsi="Times New Roman"/>
          <w:b w:val="0"/>
          <w:bCs w:val="0"/>
          <w:color w:val="auto"/>
          <w:kern w:val="0"/>
          <w:sz w:val="44"/>
          <w:szCs w:val="44"/>
        </w:rPr>
      </w:pPr>
    </w:p>
    <w:p>
      <w:pPr>
        <w:pStyle w:val="2"/>
        <w:keepNext w:val="0"/>
        <w:keepLines w:val="0"/>
        <w:widowControl/>
        <w:spacing w:before="299" w:after="299"/>
        <w:ind w:left="0"/>
        <w:rPr>
          <w:rFonts w:ascii="方正黑体_GBK" w:eastAsia="方正黑体_GBK" w:cs="方正黑体_GBK" w:hAnsi="Times New Roman"/>
          <w:b w:val="0"/>
          <w:bCs w:val="0"/>
          <w:color w:val="auto"/>
          <w:kern w:val="0"/>
          <w:sz w:val="44"/>
          <w:szCs w:val="44"/>
        </w:rPr>
      </w:pPr>
    </w:p>
    <w:p>
      <w:pPr>
        <w:pStyle w:val="2"/>
        <w:keepNext w:val="0"/>
        <w:keepLines w:val="0"/>
        <w:widowControl/>
        <w:spacing w:before="299" w:after="299"/>
        <w:ind w:left="0"/>
        <w:jc w:val="center"/>
        <w:rPr>
          <w:rFonts w:ascii="方正黑体_GBK" w:eastAsia="方正黑体_GBK" w:cs="方正黑体_GBK" w:hAnsi="Times New Roman"/>
          <w:b w:val="0"/>
          <w:bCs w:val="0"/>
          <w:color w:val="auto"/>
          <w:kern w:val="0"/>
          <w:sz w:val="44"/>
          <w:szCs w:val="44"/>
        </w:rPr>
      </w:pPr>
    </w:p>
    <w:p>
      <w:pPr>
        <w:pStyle w:val="2"/>
        <w:keepNext w:val="0"/>
        <w:keepLines w:val="0"/>
        <w:widowControl/>
        <w:spacing w:before="299" w:after="299"/>
        <w:ind w:left="0"/>
        <w:jc w:val="center"/>
        <w:rPr>
          <w:rFonts w:ascii="方正黑体_GBK" w:eastAsia="方正黑体_GBK" w:cs="方正黑体_GBK" w:hAnsi="Times New Roman" w:hint="eastAsia"/>
          <w:b w:val="0"/>
          <w:bCs w:val="0"/>
          <w:color w:val="auto"/>
          <w:kern w:val="0"/>
          <w:sz w:val="52"/>
          <w:szCs w:val="52"/>
        </w:rPr>
      </w:pPr>
      <w:r>
        <w:rPr>
          <w:rFonts w:ascii="方正黑体_GBK" w:eastAsia="方正黑体_GBK" w:cs="方正黑体_GBK" w:hAnsi="Times New Roman" w:hint="eastAsia"/>
          <w:b w:val="0"/>
          <w:bCs w:val="0"/>
          <w:color w:val="auto"/>
          <w:kern w:val="0"/>
          <w:sz w:val="52"/>
          <w:szCs w:val="52"/>
        </w:rPr>
        <w:t>第一部分</w:t>
      </w:r>
    </w:p>
    <w:p>
      <w:pPr>
        <w:pStyle w:val="2"/>
        <w:keepNext w:val="0"/>
        <w:keepLines w:val="0"/>
        <w:widowControl/>
        <w:spacing w:before="299" w:after="299"/>
        <w:ind w:left="0"/>
        <w:jc w:val="center"/>
        <w:rPr>
          <w:rFonts w:ascii="方正黑体_GBK" w:eastAsia="方正黑体_GBK" w:cs="方正黑体_GBK" w:hAnsi="Times New Roman" w:hint="eastAsia"/>
          <w:b w:val="0"/>
          <w:bCs w:val="0"/>
          <w:color w:val="auto"/>
          <w:kern w:val="0"/>
          <w:sz w:val="52"/>
          <w:szCs w:val="52"/>
        </w:rPr>
      </w:pPr>
      <w:r>
        <w:rPr>
          <w:rFonts w:ascii="方正黑体_GBK" w:eastAsia="方正黑体_GBK" w:cs="方正黑体_GBK" w:hAnsi="Times New Roman" w:hint="eastAsia"/>
          <w:b w:val="0"/>
          <w:bCs w:val="0"/>
          <w:color w:val="auto"/>
          <w:kern w:val="0"/>
          <w:sz w:val="52"/>
          <w:szCs w:val="52"/>
        </w:rPr>
        <w:t>中国电子口岸数据中心太原分中心</w:t>
      </w:r>
    </w:p>
    <w:p>
      <w:pPr>
        <w:pStyle w:val="3"/>
        <w:keepNext w:val="0"/>
        <w:keepLines w:val="0"/>
        <w:widowControl/>
        <w:spacing w:before="281" w:after="281"/>
        <w:jc w:val="center"/>
        <w:rPr>
          <w:rFonts w:ascii="方正黑体_GBK" w:eastAsia="方正黑体_GBK" w:cs="方正黑体_GBK" w:hAnsi="Times New Roman" w:hint="eastAsia"/>
          <w:b w:val="0"/>
          <w:bCs w:val="0"/>
          <w:color w:val="auto"/>
          <w:kern w:val="0"/>
          <w:sz w:val="52"/>
          <w:szCs w:val="52"/>
        </w:rPr>
      </w:pPr>
      <w:r>
        <w:rPr>
          <w:rFonts w:ascii="方正黑体_GBK" w:eastAsia="方正黑体_GBK" w:cs="方正黑体_GBK" w:hAnsi="Times New Roman" w:hint="eastAsia"/>
          <w:b w:val="0"/>
          <w:bCs w:val="0"/>
          <w:color w:val="auto"/>
          <w:kern w:val="0"/>
          <w:sz w:val="52"/>
          <w:szCs w:val="52"/>
        </w:rPr>
        <w:t>概况</w:t>
      </w: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0" w:beforeAutospacing="0" w:afterAutospacing="0" w:line="560" w:lineRule="exact"/>
        <w:ind w:left="0" w:firstLineChars="200" w:firstLine="640"/>
        <w:jc w:val="left"/>
        <w:rPr>
          <w:rFonts w:ascii="方正黑体_GBK" w:eastAsia="方正黑体_GBK" w:cs="方正黑体_GBK" w:hAnsi="Times New Roman" w:hint="eastAsia"/>
          <w:b w:val="0"/>
          <w:bCs w:val="0"/>
          <w:kern w:val="0"/>
          <w:sz w:val="32"/>
          <w:szCs w:val="32"/>
        </w:rPr>
      </w:pPr>
      <w:r>
        <w:rPr>
          <w:rFonts w:ascii="方正黑体_GBK" w:eastAsia="方正黑体_GBK" w:cs="方正黑体_GBK" w:hAnsi="Times New Roman" w:hint="eastAsia"/>
          <w:b w:val="0"/>
          <w:bCs w:val="0"/>
          <w:color w:val="auto"/>
          <w:kern w:val="0"/>
          <w:sz w:val="32"/>
          <w:szCs w:val="32"/>
        </w:rPr>
        <w:t>一、主要职责</w:t>
      </w:r>
    </w:p>
    <w:p>
      <w:pPr>
        <w:pStyle w:val="16"/>
        <w:spacing w:line="560" w:lineRule="exact"/>
        <w:ind w:left="0" w:firstLineChars="200" w:firstLine="640"/>
        <w:rPr>
          <w:rFonts w:ascii="方正仿宋_GBK" w:eastAsia="方正仿宋_GBK" w:cs="方正仿宋_GBK" w:hint="eastAsia"/>
          <w:sz w:val="32"/>
          <w:szCs w:val="32"/>
        </w:rPr>
      </w:pPr>
      <w:r>
        <w:rPr>
          <w:rFonts w:ascii="方正仿宋_GBK" w:eastAsia="方正仿宋_GBK" w:cs="方正仿宋_GBK" w:hint="eastAsia"/>
          <w:sz w:val="32"/>
          <w:szCs w:val="32"/>
        </w:rPr>
        <w:t>中国电子口岸数据中心太原分中心是隶属于太原海关的事业单位。主要履行下列职责：</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（一）负责本地区电子口岸应用项目及联网企业的技术支持、操作培训、热线值班，及时收集、报告项目运行情况及各方反映。</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（二）协助做好本地区中国国际贸易单一窗口标准版推广运维工作。</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（三）协助承担海关信息系统项目开发、运行维护职责。</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（四）承担本地区电子口岸系统运行、维护管理。</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（五）承担电子口岸专网分中心节点的网络系统和信息安全保障工作。</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（六）承办本地区电子口岸政务卡、企业卡入网的身份鉴别、录入、制作等项工作。</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（七）参与地方电子口岸应用项目建设，做好相关技术支持。</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（八）参与地方国际贸易单一窗口应用项目建设，共同做好相关运行维护、技术支持、操作培训及热线值班工作。</w:t>
      </w:r>
    </w:p>
    <w:p>
      <w:pPr>
        <w:pStyle w:val="16"/>
        <w:spacing w:line="560" w:lineRule="exact"/>
        <w:ind w:firstLineChars="200" w:firstLine="640"/>
        <w:rPr>
          <w:rFonts w:ascii="方正仿宋_GBK" w:eastAsia="方正仿宋_GBK" w:cs="方正仿宋_GBK" w:hint="eastAsia"/>
          <w:b/>
          <w:bCs/>
          <w:sz w:val="32"/>
          <w:szCs w:val="32"/>
        </w:rPr>
      </w:pPr>
      <w:r>
        <w:rPr>
          <w:rFonts w:ascii="方正仿宋_GBK" w:eastAsia="方正仿宋_GBK" w:cs="方正仿宋_GBK" w:hint="eastAsia"/>
          <w:b/>
          <w:bCs/>
          <w:sz w:val="32"/>
          <w:szCs w:val="32"/>
        </w:rPr>
        <w:t>（九）承办所在太原海关和数据中心交办的其他事项。</w:t>
      </w:r>
    </w:p>
    <w:p>
      <w:pPr>
        <w:pStyle w:val="3"/>
        <w:keepNext w:val="0"/>
        <w:keepLines w:val="0"/>
        <w:widowControl/>
        <w:spacing w:before="0" w:beforeAutospacing="0" w:afterAutospacing="0" w:line="560" w:lineRule="exact"/>
        <w:ind w:firstLineChars="200" w:firstLine="640"/>
        <w:jc w:val="left"/>
        <w:rPr>
          <w:rFonts w:ascii="方正黑体_GBK" w:eastAsia="方正黑体_GBK" w:cs="方正黑体_GBK" w:hAnsi="Times New Roman" w:hint="eastAsia"/>
          <w:b w:val="0"/>
          <w:bCs w:val="0"/>
          <w:kern w:val="0"/>
          <w:sz w:val="32"/>
          <w:szCs w:val="32"/>
        </w:rPr>
      </w:pPr>
      <w:r>
        <w:rPr>
          <w:rFonts w:ascii="方正黑体_GBK" w:eastAsia="方正黑体_GBK" w:cs="方正黑体_GBK" w:hAnsi="Times New Roman" w:hint="eastAsia"/>
          <w:b w:val="0"/>
          <w:bCs w:val="0"/>
          <w:color w:val="auto"/>
          <w:kern w:val="0"/>
          <w:sz w:val="32"/>
          <w:szCs w:val="32"/>
        </w:rPr>
        <w:t>二、机构设置</w:t>
      </w:r>
    </w:p>
    <w:p>
      <w:pPr>
        <w:widowControl/>
        <w:spacing w:before="240" w:after="240"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kern w:val="0"/>
          <w:sz w:val="32"/>
          <w:szCs w:val="32"/>
        </w:rPr>
        <w:t>中国电子口岸数据中心太原分中心内设 3个部门，包括：技术部、综合部、财务部。</w:t>
      </w:r>
    </w:p>
    <w:p>
      <w:pPr>
        <w:pStyle w:val="2"/>
        <w:keepNext w:val="0"/>
        <w:keepLines w:val="0"/>
        <w:widowControl/>
        <w:spacing w:before="299" w:after="299"/>
        <w:jc w:val="left"/>
        <w:rPr>
          <w:rFonts w:ascii="Times New Roman" w:eastAsia="SimSun" w:hAnsi="Times New Roman"/>
          <w:color w:val="auto"/>
          <w:kern w:val="0"/>
          <w:sz w:val="36"/>
          <w:szCs w:val="36"/>
        </w:rPr>
      </w:pPr>
    </w:p>
    <w:p>
      <w:pPr>
        <w:pStyle w:val="19"/>
        <w:keepNext w:val="0"/>
        <w:keepLines w:val="0"/>
        <w:widowControl/>
        <w:spacing w:before="299" w:after="299"/>
        <w:ind w:firstLineChars="400" w:firstLine="1440"/>
        <w:jc w:val="left"/>
        <w:rPr>
          <w:rFonts w:ascii="Times New Roman" w:eastAsia="方正黑体_GBK" w:hAnsi="Times New Roman"/>
          <w:color w:val="auto"/>
          <w:kern w:val="0"/>
          <w:sz w:val="36"/>
          <w:szCs w:val="36"/>
        </w:rPr>
      </w:pPr>
    </w:p>
    <w:p>
      <w:pPr>
        <w:pStyle w:val="19"/>
        <w:keepNext w:val="0"/>
        <w:keepLines w:val="0"/>
        <w:widowControl/>
        <w:spacing w:before="299" w:after="299"/>
        <w:ind w:firstLineChars="400" w:firstLine="1440"/>
        <w:jc w:val="left"/>
        <w:rPr>
          <w:rFonts w:ascii="Times New Roman" w:eastAsia="方正黑体_GBK" w:hAnsi="Times New Roman"/>
          <w:color w:val="auto"/>
          <w:kern w:val="0"/>
          <w:sz w:val="36"/>
          <w:szCs w:val="36"/>
        </w:rPr>
      </w:pPr>
    </w:p>
    <w:p>
      <w:pPr>
        <w:pStyle w:val="19"/>
        <w:keepNext w:val="0"/>
        <w:keepLines w:val="0"/>
        <w:widowControl/>
        <w:spacing w:before="299" w:after="299"/>
        <w:ind w:firstLineChars="400" w:firstLine="1440"/>
        <w:jc w:val="left"/>
        <w:rPr>
          <w:rFonts w:ascii="Times New Roman" w:eastAsia="方正黑体_GBK" w:hAnsi="Times New Roman"/>
          <w:color w:val="auto"/>
          <w:kern w:val="0"/>
          <w:sz w:val="36"/>
          <w:szCs w:val="36"/>
        </w:rPr>
      </w:pPr>
    </w:p>
    <w:p>
      <w:pPr>
        <w:pStyle w:val="19"/>
        <w:keepNext w:val="0"/>
        <w:keepLines w:val="0"/>
        <w:widowControl/>
        <w:spacing w:before="299" w:after="299"/>
        <w:ind w:left="0"/>
        <w:jc w:val="left"/>
        <w:rPr>
          <w:rFonts w:ascii="Times New Roman" w:eastAsia="方正黑体_GBK" w:hAnsi="Times New Roman"/>
          <w:color w:val="auto"/>
          <w:kern w:val="0"/>
          <w:sz w:val="36"/>
          <w:szCs w:val="36"/>
        </w:rPr>
      </w:pPr>
    </w:p>
    <w:p>
      <w:pPr>
        <w:pStyle w:val="19"/>
        <w:keepNext w:val="0"/>
        <w:keepLines w:val="0"/>
        <w:widowControl/>
        <w:spacing w:before="299" w:after="299"/>
        <w:ind w:left="0"/>
        <w:jc w:val="left"/>
        <w:rPr>
          <w:rFonts w:ascii="Times New Roman" w:eastAsia="方正黑体_GBK" w:hAnsi="Times New Roman"/>
          <w:b w:val="0"/>
          <w:bCs w:val="0"/>
          <w:color w:val="auto"/>
          <w:kern w:val="0"/>
          <w:sz w:val="36"/>
          <w:szCs w:val="36"/>
        </w:rPr>
      </w:pPr>
    </w:p>
    <w:p>
      <w:pPr>
        <w:pStyle w:val="19"/>
        <w:keepNext w:val="0"/>
        <w:keepLines w:val="0"/>
        <w:widowControl/>
        <w:spacing w:before="299" w:after="299"/>
        <w:ind w:left="0"/>
        <w:jc w:val="center"/>
        <w:rPr>
          <w:rFonts w:ascii="方正黑体_GBK" w:eastAsia="方正黑体_GBK" w:cs="方正黑体_GBK" w:hAnsi="Times New Roman" w:hint="eastAsia"/>
          <w:b w:val="0"/>
          <w:bCs w:val="0"/>
          <w:color w:val="auto"/>
          <w:kern w:val="0"/>
          <w:sz w:val="52"/>
          <w:szCs w:val="52"/>
        </w:rPr>
      </w:pPr>
      <w:r>
        <w:rPr>
          <w:rFonts w:ascii="方正黑体_GBK" w:eastAsia="方正黑体_GBK" w:cs="方正黑体_GBK" w:hAnsi="Times New Roman" w:hint="eastAsia"/>
          <w:b w:val="0"/>
          <w:bCs w:val="0"/>
          <w:color w:val="auto"/>
          <w:kern w:val="0"/>
          <w:sz w:val="52"/>
          <w:szCs w:val="52"/>
        </w:rPr>
        <w:t>第二部分</w:t>
      </w:r>
    </w:p>
    <w:p>
      <w:pPr>
        <w:pStyle w:val="19"/>
        <w:keepNext w:val="0"/>
        <w:keepLines w:val="0"/>
        <w:widowControl/>
        <w:spacing w:before="299" w:after="299"/>
        <w:ind w:left="0"/>
        <w:jc w:val="center"/>
        <w:rPr>
          <w:rFonts w:ascii="方正黑体_GBK" w:eastAsia="方正黑体_GBK" w:cs="方正黑体_GBK" w:hAnsi="Times New Roman" w:hint="eastAsia"/>
          <w:b w:val="0"/>
          <w:bCs w:val="0"/>
          <w:color w:val="auto"/>
          <w:kern w:val="0"/>
          <w:sz w:val="52"/>
          <w:szCs w:val="52"/>
        </w:rPr>
      </w:pPr>
      <w:r>
        <w:rPr>
          <w:rFonts w:ascii="方正黑体_GBK" w:eastAsia="方正黑体_GBK" w:cs="方正黑体_GBK" w:hAnsi="Times New Roman" w:hint="eastAsia"/>
          <w:b w:val="0"/>
          <w:bCs w:val="0"/>
          <w:color w:val="auto"/>
          <w:kern w:val="0"/>
          <w:sz w:val="52"/>
          <w:szCs w:val="52"/>
        </w:rPr>
        <w:t>2025年度部门决算表</w:t>
      </w: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sectPr>
          <w:footerReference w:type="default" r:id="rId2"/>
          <w:pgSz w:w="11906" w:h="16838"/>
          <w:pgMar w:top="1440" w:right="1800" w:bottom="1440" w:left="1800" w:header="851" w:footer="992" w:gutter="0"/>
          <w:docGrid w:type="lines" w:linePitch="312" w:charSpace="0"/>
        </w:sectPr>
      </w:pPr>
    </w:p>
    <w:tbl>
      <w:tblPr>
        <w:jc w:val="left"/>
        <w:tblInd w:w="-10" w:type="dxa"/>
        <w:tblW w:w="1350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984"/>
        <w:gridCol w:w="2042"/>
        <w:gridCol w:w="460"/>
        <w:gridCol w:w="549"/>
        <w:gridCol w:w="1571"/>
        <w:gridCol w:w="84"/>
        <w:gridCol w:w="3524"/>
        <w:gridCol w:w="236"/>
        <w:gridCol w:w="843"/>
        <w:gridCol w:w="157"/>
        <w:gridCol w:w="1632"/>
        <w:gridCol w:w="432"/>
      </w:tblGrid>
      <w:tr>
        <w:trPr>
          <w:trHeight w:val="539"/>
          <w:gridAfter w:val="1"/>
          <w:wAfter w:w="432" w:type="dxa"/>
        </w:trPr>
        <w:tc>
          <w:tcPr>
            <w:tcW w:w="13082" w:type="dxa"/>
            <w:gridSpan w:val="11"/>
            <w:tcBorders>
              <w:top w:val="nil"/>
              <w:left w:val="nil"/>
              <w:bottom w:val="nil"/>
              <w:right w:val="nil"/>
              <w:tl2br w:val="nil"/>
              <w:tr2bl w:val="nil"/>
            </w:tcBorders>
            <w:noWrap/>
            <w:vAlign w:val="center"/>
          </w:tcPr>
          <w:p>
            <w:pPr>
              <w:jc w:val="center"/>
              <w:rPr>
                <w:rFonts w:ascii="宋体" w:cs="宋体" w:hAnsi="宋体" w:hint="eastAsia"/>
                <w:b/>
                <w:bCs/>
                <w:color w:val="000000"/>
                <w:sz w:val="44"/>
                <w:szCs w:val="44"/>
              </w:rPr>
            </w:pPr>
            <w:r>
              <w:rPr>
                <w:rFonts w:ascii="宋体" w:cs="宋体" w:hAnsi="宋体" w:hint="eastAsia"/>
                <w:b/>
                <w:bCs/>
                <w:color w:val="000000"/>
                <w:sz w:val="44"/>
                <w:szCs w:val="44"/>
              </w:rPr>
              <w:t>收入支出决算总表</w:t>
            </w:r>
          </w:p>
        </w:tc>
      </w:tr>
      <w:tr>
        <w:trPr>
          <w:trHeight w:val="284"/>
          <w:gridAfter w:val="1"/>
          <w:wAfter w:w="432" w:type="dxa"/>
        </w:trPr>
        <w:tc>
          <w:tcPr>
            <w:tcW w:w="5035" w:type="dxa"/>
            <w:gridSpan w:val="4"/>
            <w:tcBorders>
              <w:top w:val="nil"/>
              <w:left w:val="nil"/>
              <w:bottom w:val="nil"/>
              <w:right w:val="nil"/>
              <w:tl2br w:val="nil"/>
              <w:tr2bl w:val="nil"/>
            </w:tcBorders>
            <w:noWrap/>
            <w:vAlign w:val="center"/>
          </w:tcPr>
          <w:p>
            <w:pPr>
              <w:rPr>
                <w:rFonts w:ascii="宋体" w:cs="宋体" w:hAnsi="宋体" w:hint="eastAsia"/>
                <w:sz w:val="24"/>
              </w:rPr>
            </w:pPr>
          </w:p>
        </w:tc>
        <w:tc>
          <w:tcPr>
            <w:tcW w:w="1571" w:type="dxa"/>
            <w:tcBorders>
              <w:top w:val="nil"/>
              <w:left w:val="nil"/>
              <w:bottom w:val="nil"/>
              <w:right w:val="nil"/>
              <w:tl2br w:val="nil"/>
              <w:tr2bl w:val="nil"/>
            </w:tcBorders>
            <w:noWrap/>
            <w:vAlign w:val="center"/>
          </w:tcPr>
          <w:p>
            <w:pPr>
              <w:rPr>
                <w:rFonts w:ascii="宋体" w:cs="宋体" w:hAnsi="宋体" w:hint="eastAsia"/>
                <w:sz w:val="24"/>
              </w:rPr>
            </w:pPr>
          </w:p>
        </w:tc>
        <w:tc>
          <w:tcPr>
            <w:tcW w:w="3844" w:type="dxa"/>
            <w:gridSpan w:val="3"/>
            <w:tcBorders>
              <w:top w:val="nil"/>
              <w:left w:val="nil"/>
              <w:bottom w:val="nil"/>
              <w:right w:val="nil"/>
              <w:tl2br w:val="nil"/>
              <w:tr2bl w:val="nil"/>
            </w:tcBorders>
            <w:noWrap/>
            <w:vAlign w:val="center"/>
          </w:tcPr>
          <w:p>
            <w:pPr>
              <w:rPr>
                <w:rFonts w:ascii="宋体" w:cs="宋体" w:hAnsi="宋体" w:hint="eastAsia"/>
                <w:sz w:val="24"/>
              </w:rPr>
            </w:pPr>
          </w:p>
        </w:tc>
        <w:tc>
          <w:tcPr>
            <w:tcW w:w="1000"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632" w:type="dxa"/>
            <w:tcBorders>
              <w:top w:val="nil"/>
              <w:left w:val="nil"/>
              <w:bottom w:val="nil"/>
              <w:right w:val="nil"/>
              <w:tl2br w:val="nil"/>
              <w:tr2bl w:val="nil"/>
            </w:tcBorders>
            <w:noWrap/>
            <w:vAlign w:val="center"/>
          </w:tcPr>
          <w:p>
            <w:pPr>
              <w:jc w:val="right"/>
              <w:rPr>
                <w:rFonts w:ascii="宋体" w:cs="宋体" w:hAnsi="宋体" w:hint="eastAsia"/>
                <w:sz w:val="24"/>
              </w:rPr>
            </w:pPr>
            <w:r>
              <w:rPr>
                <w:rFonts w:ascii="宋体" w:cs="宋体" w:hAnsi="宋体" w:hint="eastAsia"/>
                <w:sz w:val="24"/>
              </w:rPr>
              <w:t>公开01表</w:t>
            </w:r>
          </w:p>
        </w:tc>
      </w:tr>
      <w:tr>
        <w:trPr>
          <w:trHeight w:val="484"/>
          <w:gridAfter w:val="1"/>
          <w:wAfter w:w="432" w:type="dxa"/>
        </w:trPr>
        <w:tc>
          <w:tcPr>
            <w:tcW w:w="4026" w:type="dxa"/>
            <w:gridSpan w:val="2"/>
            <w:tcBorders>
              <w:top w:val="nil"/>
              <w:left w:val="nil"/>
              <w:bottom w:val="nil"/>
              <w:right w:val="nil"/>
              <w:tl2br w:val="nil"/>
              <w:tr2bl w:val="nil"/>
            </w:tcBorders>
            <w:noWrap/>
            <w:vAlign w:val="center"/>
          </w:tcPr>
          <w:p>
            <w:pPr>
              <w:rPr>
                <w:rFonts w:ascii="宋体" w:cs="宋体" w:hAnsi="宋体" w:hint="eastAsia"/>
                <w:sz w:val="24"/>
              </w:rPr>
            </w:pPr>
            <w:r>
              <w:rPr>
                <w:rFonts w:ascii="宋体" w:cs="宋体" w:hAnsi="宋体" w:hint="eastAsia"/>
                <w:sz w:val="24"/>
              </w:rPr>
              <w:t>部门：中国电子口岸数据中心太原分中心</w:t>
            </w:r>
          </w:p>
        </w:tc>
        <w:tc>
          <w:tcPr>
            <w:tcW w:w="1009"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571" w:type="dxa"/>
            <w:tcBorders>
              <w:top w:val="nil"/>
              <w:left w:val="nil"/>
              <w:bottom w:val="nil"/>
              <w:right w:val="nil"/>
              <w:tl2br w:val="nil"/>
              <w:tr2bl w:val="nil"/>
            </w:tcBorders>
            <w:noWrap/>
            <w:vAlign w:val="center"/>
          </w:tcPr>
          <w:p>
            <w:pPr>
              <w:rPr>
                <w:rFonts w:ascii="宋体" w:cs="宋体" w:hAnsi="宋体" w:hint="eastAsia"/>
                <w:sz w:val="24"/>
              </w:rPr>
            </w:pPr>
          </w:p>
        </w:tc>
        <w:tc>
          <w:tcPr>
            <w:tcW w:w="3844" w:type="dxa"/>
            <w:gridSpan w:val="3"/>
            <w:tcBorders>
              <w:top w:val="nil"/>
              <w:left w:val="nil"/>
              <w:bottom w:val="nil"/>
              <w:right w:val="nil"/>
              <w:tl2br w:val="nil"/>
              <w:tr2bl w:val="nil"/>
            </w:tcBorders>
            <w:noWrap/>
            <w:vAlign w:val="center"/>
          </w:tcPr>
          <w:p>
            <w:pPr>
              <w:jc w:val="center"/>
              <w:rPr>
                <w:rFonts w:ascii="宋体" w:cs="宋体" w:hAnsi="宋体" w:hint="eastAsia"/>
                <w:sz w:val="24"/>
              </w:rPr>
            </w:pPr>
          </w:p>
        </w:tc>
        <w:tc>
          <w:tcPr>
            <w:tcW w:w="1000"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632" w:type="dxa"/>
            <w:tcBorders>
              <w:top w:val="nil"/>
              <w:left w:val="nil"/>
              <w:bottom w:val="nil"/>
              <w:right w:val="nil"/>
              <w:tl2br w:val="nil"/>
              <w:tr2bl w:val="nil"/>
            </w:tcBorders>
            <w:noWrap/>
            <w:vAlign w:val="center"/>
          </w:tcPr>
          <w:p>
            <w:pPr>
              <w:jc w:val="right"/>
              <w:rPr>
                <w:rFonts w:ascii="宋体" w:cs="宋体" w:hAnsi="宋体" w:hint="eastAsia"/>
                <w:sz w:val="24"/>
              </w:rPr>
            </w:pPr>
            <w:r>
              <w:rPr>
                <w:rFonts w:ascii="宋体" w:cs="宋体" w:hAnsi="宋体" w:hint="eastAsia"/>
                <w:sz w:val="24"/>
              </w:rPr>
              <w:t>单位：万元</w:t>
            </w:r>
          </w:p>
        </w:tc>
      </w:tr>
      <w:tr>
        <w:trPr>
          <w:trHeight w:val="284"/>
          <w:gridAfter w:val="1"/>
          <w:wAfter w:w="432" w:type="dxa"/>
        </w:trPr>
        <w:tc>
          <w:tcPr>
            <w:tcW w:w="6606"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收入</w:t>
            </w:r>
          </w:p>
        </w:tc>
        <w:tc>
          <w:tcPr>
            <w:tcW w:w="6476" w:type="dxa"/>
            <w:gridSpan w:val="6"/>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支出</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项目</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行次</w:t>
            </w:r>
          </w:p>
        </w:tc>
        <w:tc>
          <w:tcPr>
            <w:tcW w:w="157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决算数</w:t>
            </w:r>
          </w:p>
        </w:tc>
        <w:tc>
          <w:tcPr>
            <w:tcW w:w="3844" w:type="dxa"/>
            <w:gridSpan w:val="3"/>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项目</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行次</w:t>
            </w:r>
          </w:p>
        </w:tc>
        <w:tc>
          <w:tcPr>
            <w:tcW w:w="163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决算数</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栏次</w:t>
            </w:r>
          </w:p>
        </w:tc>
        <w:tc>
          <w:tcPr>
            <w:tcW w:w="1009"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57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3844" w:type="dxa"/>
            <w:gridSpan w:val="3"/>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栏次</w:t>
            </w:r>
          </w:p>
        </w:tc>
        <w:tc>
          <w:tcPr>
            <w:tcW w:w="1000"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63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一、一般公共预算财政拨款收入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 xml:space="preserve"> 一、一般公共服务支出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32</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116.08 </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二、政府性基金预算财政拨款收入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 xml:space="preserve"> 二、外交支出 </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33</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三、国有资本经营预算财政拨款收入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三、国防支出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34</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四、上级补助收入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四、公共安全支出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35</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五、事业收入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118.5 </w:t>
            </w: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五、教育支出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36</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六、经营收入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六、科学技术支出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37</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七、附属单位上缴收入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7</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七、文化旅游体育与传媒支出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38</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02"/>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八、其他收入</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8</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0.08 </w:t>
            </w: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八、社会保障和就业支出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39</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6.8</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9</w:t>
            </w:r>
          </w:p>
        </w:tc>
        <w:tc>
          <w:tcPr>
            <w:tcW w:w="157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九、卫生健康支出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40</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3.31</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10</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十、节能环保支出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41</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11</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十一、城乡社区支出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42</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12</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十二、农林水支出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43</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13</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十三、交通运输支出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44</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14</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十四、资源勘探工业信息等支出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45</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15</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十五、商业服务业等支出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46</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16</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十六、金融支出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47</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17</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十七、援助其他地区支出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48</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18</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十八、自然资源海洋气象等支出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49</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19</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十九、住房保障支出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50</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5.25</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20</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二十、粮油物资储备支出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51</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21</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二十一、国有资本经营预算支出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52</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22</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二十二、灾害防治及应急管理支出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53</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23</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二十三、其他支出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54</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24</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二十四、债务还本支出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55</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25</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二十五、债务付息支出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56</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26</w:t>
            </w:r>
          </w:p>
        </w:tc>
        <w:tc>
          <w:tcPr>
            <w:tcW w:w="157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二十六、抗疫特别国债安排的支出</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57</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本年收入合计</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27</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118.58 </w:t>
            </w:r>
          </w:p>
        </w:tc>
        <w:tc>
          <w:tcPr>
            <w:tcW w:w="3844" w:type="dxa"/>
            <w:gridSpan w:val="3"/>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本年支出合计</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58</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131.44 </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使用非财政拨款结余（含专用结余）</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28</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12.86</w:t>
            </w: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 xml:space="preserve"> 结余分配</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59</w:t>
            </w:r>
          </w:p>
        </w:tc>
        <w:tc>
          <w:tcPr>
            <w:tcW w:w="163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 xml:space="preserve"> </w:t>
            </w: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 xml:space="preserve">年初结转和结余 </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29</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 xml:space="preserve"> 年末结转和结余 </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60</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30</w:t>
            </w:r>
          </w:p>
        </w:tc>
        <w:tc>
          <w:tcPr>
            <w:tcW w:w="157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3844"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61</w:t>
            </w:r>
          </w:p>
        </w:tc>
        <w:tc>
          <w:tcPr>
            <w:tcW w:w="163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r>
      <w:tr>
        <w:trPr>
          <w:trHeight w:val="284"/>
          <w:gridAfter w:val="1"/>
          <w:wAfter w:w="432" w:type="dxa"/>
        </w:trPr>
        <w:tc>
          <w:tcPr>
            <w:tcW w:w="4026"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总计</w:t>
            </w:r>
          </w:p>
        </w:tc>
        <w:tc>
          <w:tcPr>
            <w:tcW w:w="1009"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31</w:t>
            </w:r>
          </w:p>
        </w:tc>
        <w:tc>
          <w:tcPr>
            <w:tcW w:w="15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131.44 </w:t>
            </w:r>
          </w:p>
        </w:tc>
        <w:tc>
          <w:tcPr>
            <w:tcW w:w="3844" w:type="dxa"/>
            <w:gridSpan w:val="3"/>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总计</w:t>
            </w:r>
          </w:p>
        </w:tc>
        <w:tc>
          <w:tcPr>
            <w:tcW w:w="10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62</w:t>
            </w:r>
          </w:p>
        </w:tc>
        <w:tc>
          <w:tcPr>
            <w:tcW w:w="1632"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131.44 </w:t>
            </w:r>
          </w:p>
        </w:tc>
      </w:tr>
      <w:tr>
        <w:trPr>
          <w:trHeight w:val="509"/>
          <w:gridAfter w:val="1"/>
          <w:wAfter w:w="432" w:type="dxa"/>
        </w:trPr>
        <w:tc>
          <w:tcPr>
            <w:tcW w:w="13082" w:type="dxa"/>
            <w:gridSpan w:val="11"/>
            <w:tcBorders>
              <w:top w:val="nil"/>
              <w:left w:val="nil"/>
              <w:bottom w:val="nil"/>
              <w:right w:val="nil"/>
              <w:tl2br w:val="nil"/>
              <w:tr2bl w:val="nil"/>
            </w:tcBorders>
            <w:noWrap/>
            <w:vAlign w:val="center"/>
          </w:tcPr>
          <w:p>
            <w:pPr>
              <w:rPr>
                <w:rFonts w:ascii="宋体" w:cs="宋体" w:hAnsi="宋体" w:hint="eastAsia"/>
                <w:color w:val="000000"/>
                <w:sz w:val="24"/>
              </w:rPr>
            </w:pPr>
            <w:r>
              <w:rPr>
                <w:rFonts w:ascii="宋体" w:cs="宋体" w:hAnsi="宋体" w:hint="eastAsia"/>
                <w:color w:val="000000"/>
                <w:sz w:val="24"/>
              </w:rPr>
              <w:t>注：1.本表反映部门本年度的总收支和年末结转结余情况。</w:t>
            </w:r>
          </w:p>
        </w:tc>
      </w:tr>
      <w:tr>
        <w:trPr>
          <w:trHeight w:val="503"/>
          <w:gridAfter w:val="1"/>
          <w:wAfter w:w="432" w:type="dxa"/>
        </w:trPr>
        <w:tc>
          <w:tcPr>
            <w:tcW w:w="13082" w:type="dxa"/>
            <w:gridSpan w:val="11"/>
            <w:tcBorders>
              <w:top w:val="nil"/>
              <w:left w:val="nil"/>
              <w:bottom w:val="nil"/>
              <w:right w:val="nil"/>
              <w:tl2br w:val="nil"/>
              <w:tr2bl w:val="nil"/>
            </w:tcBorders>
            <w:noWrap/>
            <w:vAlign w:val="center"/>
          </w:tcPr>
          <w:p>
            <w:pPr>
              <w:ind w:firstLineChars="200" w:firstLine="480"/>
              <w:rPr>
                <w:rFonts w:ascii="宋体" w:cs="宋体" w:hAnsi="宋体" w:hint="eastAsia"/>
                <w:color w:val="000000"/>
                <w:sz w:val="24"/>
              </w:rPr>
            </w:pPr>
            <w:r>
              <w:rPr>
                <w:rFonts w:ascii="宋体" w:cs="宋体" w:hAnsi="宋体" w:hint="eastAsia"/>
                <w:color w:val="000000"/>
                <w:sz w:val="24"/>
              </w:rPr>
              <w:t>2.本套报表金额单位转换时可能存在尾数误差。</w:t>
            </w:r>
          </w:p>
        </w:tc>
      </w:tr>
      <w:tr>
        <w:trPr>
          <w:trHeight w:val="539"/>
        </w:trPr>
        <w:tc>
          <w:tcPr>
            <w:tcW w:w="13514" w:type="dxa"/>
            <w:gridSpan w:val="12"/>
            <w:tcBorders>
              <w:top w:val="nil"/>
              <w:left w:val="nil"/>
              <w:bottom w:val="nil"/>
              <w:right w:val="nil"/>
              <w:tl2br w:val="nil"/>
              <w:tr2bl w:val="nil"/>
            </w:tcBorders>
            <w:noWrap/>
            <w:vAlign w:val="center"/>
          </w:tcPr>
          <w:p>
            <w:pPr>
              <w:rPr>
                <w:rFonts w:ascii="宋体" w:cs="宋体" w:hAnsi="宋体" w:hint="eastAsia"/>
                <w:color w:val="000000"/>
                <w:sz w:val="28"/>
                <w:szCs w:val="28"/>
              </w:rPr>
            </w:pPr>
          </w:p>
        </w:tc>
      </w:tr>
      <w:tr>
        <w:trPr>
          <w:trHeight w:val="284"/>
        </w:trPr>
        <w:tc>
          <w:tcPr>
            <w:tcW w:w="4486" w:type="dxa"/>
            <w:gridSpan w:val="3"/>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204" w:type="dxa"/>
            <w:gridSpan w:val="3"/>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3524"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079"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221" w:type="dxa"/>
            <w:gridSpan w:val="3"/>
            <w:tcBorders>
              <w:top w:val="nil"/>
              <w:left w:val="nil"/>
              <w:bottom w:val="nil"/>
              <w:right w:val="nil"/>
              <w:tl2br w:val="nil"/>
              <w:tr2bl w:val="nil"/>
            </w:tcBorders>
            <w:noWrap/>
            <w:vAlign w:val="center"/>
          </w:tcPr>
          <w:p>
            <w:pPr>
              <w:rPr>
                <w:rFonts w:ascii="Times New Roman" w:eastAsia="宋体" w:cs="Times New Roman" w:hAnsi="Times New Roman"/>
                <w:sz w:val="24"/>
              </w:rPr>
            </w:pPr>
          </w:p>
        </w:tc>
      </w:tr>
      <w:tr>
        <w:trPr>
          <w:trHeight w:val="284"/>
        </w:trPr>
        <w:tc>
          <w:tcPr>
            <w:tcW w:w="1984"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502"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204" w:type="dxa"/>
            <w:gridSpan w:val="3"/>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3524" w:type="dxa"/>
            <w:tcBorders>
              <w:top w:val="nil"/>
              <w:left w:val="nil"/>
              <w:bottom w:val="nil"/>
              <w:right w:val="nil"/>
              <w:tl2br w:val="nil"/>
              <w:tr2bl w:val="nil"/>
            </w:tcBorders>
            <w:noWrap/>
            <w:vAlign w:val="center"/>
          </w:tcPr>
          <w:p>
            <w:pPr>
              <w:jc w:val="center"/>
              <w:rPr>
                <w:rFonts w:ascii="Times New Roman" w:eastAsia="宋体" w:cs="Times New Roman" w:hAnsi="Times New Roman"/>
                <w:sz w:val="24"/>
              </w:rPr>
            </w:pPr>
          </w:p>
        </w:tc>
        <w:tc>
          <w:tcPr>
            <w:tcW w:w="1079"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221" w:type="dxa"/>
            <w:gridSpan w:val="3"/>
            <w:tcBorders>
              <w:top w:val="nil"/>
              <w:left w:val="nil"/>
              <w:bottom w:val="nil"/>
              <w:right w:val="nil"/>
              <w:tl2br w:val="nil"/>
              <w:tr2bl w:val="nil"/>
            </w:tcBorders>
            <w:noWrap/>
            <w:vAlign w:val="center"/>
          </w:tcPr>
          <w:p>
            <w:pPr>
              <w:rPr>
                <w:rFonts w:ascii="Times New Roman" w:eastAsia="宋体" w:cs="Times New Roman" w:hAnsi="Times New Roman"/>
                <w:sz w:val="24"/>
              </w:rPr>
            </w:pPr>
          </w:p>
        </w:tc>
      </w:tr>
      <w:tr>
        <w:trPr>
          <w:trHeight w:val="284"/>
        </w:trPr>
        <w:tc>
          <w:tcPr>
            <w:tcW w:w="13514" w:type="dxa"/>
            <w:gridSpan w:val="12"/>
            <w:tcBorders>
              <w:top w:val="nil"/>
              <w:left w:val="nil"/>
              <w:bottom w:val="nil"/>
              <w:right w:val="nil"/>
              <w:tl2br w:val="nil"/>
              <w:tr2bl w:val="nil"/>
            </w:tcBorders>
            <w:noWrap/>
            <w:vAlign w:val="center"/>
          </w:tcPr>
          <w:p>
            <w:pPr>
              <w:rPr>
                <w:rFonts w:ascii="Times New Roman" w:eastAsia="宋体" w:cs="Times New Roman" w:hAnsi="Times New Roman"/>
                <w:color w:val="000000"/>
                <w:sz w:val="24"/>
              </w:rPr>
            </w:pPr>
          </w:p>
        </w:tc>
      </w:tr>
    </w:tbl>
    <w:p>
      <w:pPr>
        <w:keepNext w:val="0"/>
        <w:keepLines w:val="0"/>
        <w:pageBreakBefore w:val="0"/>
        <w:widowControl w:val="0"/>
        <w:suppressLineNumbers w:val="0"/>
        <w:suppressAutoHyphens w:val="0"/>
        <w:rPr>
          <w:rFonts w:ascii="Times New Roman" w:cs="Times New Roman" w:hAnsi="Times New Roman"/>
        </w:rPr>
      </w:pPr>
    </w:p>
    <w:p>
      <w:pPr>
        <w:widowControl/>
        <w:spacing w:before="240" w:after="240"/>
        <w:jc w:val="left"/>
        <w:rPr>
          <w:rFonts w:ascii="Times New Roman" w:eastAsia="Times New Roman" w:cs="Times New Roman" w:hAnsi="Times New Roman"/>
          <w:kern w:val="0"/>
          <w:sz w:val="24"/>
        </w:rPr>
      </w:pPr>
    </w:p>
    <w:tbl>
      <w:tblPr>
        <w:jc w:val="left"/>
        <w:tblInd w:w="-10" w:type="dxa"/>
        <w:tblW w:w="1363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35"/>
        <w:gridCol w:w="85"/>
        <w:gridCol w:w="454"/>
        <w:gridCol w:w="2429"/>
        <w:gridCol w:w="1260"/>
        <w:gridCol w:w="1471"/>
        <w:gridCol w:w="1371"/>
        <w:gridCol w:w="743"/>
        <w:gridCol w:w="500"/>
        <w:gridCol w:w="1389"/>
        <w:gridCol w:w="225"/>
        <w:gridCol w:w="1125"/>
        <w:gridCol w:w="1082"/>
        <w:gridCol w:w="265"/>
      </w:tblGrid>
      <w:tr>
        <w:trPr>
          <w:trHeight w:val="539"/>
        </w:trPr>
        <w:tc>
          <w:tcPr>
            <w:tcW w:w="13634" w:type="dxa"/>
            <w:gridSpan w:val="14"/>
            <w:tcBorders>
              <w:top w:val="nil"/>
              <w:left w:val="nil"/>
              <w:bottom w:val="nil"/>
              <w:right w:val="nil"/>
              <w:tl2br w:val="nil"/>
              <w:tr2bl w:val="nil"/>
            </w:tcBorders>
            <w:noWrap/>
            <w:vAlign w:val="center"/>
          </w:tcPr>
          <w:p>
            <w:pPr>
              <w:jc w:val="center"/>
              <w:rPr>
                <w:rFonts w:ascii="Times New Roman" w:eastAsia="宋体" w:cs="Times New Roman" w:hAnsi="Times New Roman"/>
                <w:color w:val="000000"/>
                <w:sz w:val="44"/>
              </w:rPr>
            </w:pPr>
          </w:p>
          <w:p>
            <w:pPr>
              <w:rPr>
                <w:rFonts w:ascii="Times New Roman" w:eastAsia="宋体" w:cs="Times New Roman" w:hAnsi="Times New Roman"/>
                <w:b/>
                <w:bCs/>
                <w:color w:val="000000"/>
                <w:sz w:val="44"/>
              </w:rPr>
            </w:pPr>
          </w:p>
          <w:p>
            <w:pPr>
              <w:jc w:val="center"/>
              <w:rPr>
                <w:rFonts w:ascii="Times New Roman" w:eastAsia="宋体" w:cs="Times New Roman" w:hAnsi="Times New Roman"/>
                <w:b/>
                <w:bCs/>
                <w:color w:val="000000"/>
                <w:sz w:val="44"/>
                <w:szCs w:val="44"/>
              </w:rPr>
            </w:pPr>
            <w:r>
              <w:rPr>
                <w:rFonts w:ascii="Times New Roman" w:eastAsia="宋体" w:cs="Times New Roman" w:hAnsi="Times New Roman"/>
                <w:b/>
                <w:bCs/>
                <w:color w:val="000000"/>
                <w:sz w:val="44"/>
                <w:szCs w:val="44"/>
              </w:rPr>
              <w:t>收入决算表</w:t>
            </w:r>
          </w:p>
        </w:tc>
      </w:tr>
      <w:tr>
        <w:trPr>
          <w:trHeight w:val="284"/>
        </w:trPr>
        <w:tc>
          <w:tcPr>
            <w:tcW w:w="4203" w:type="dxa"/>
            <w:gridSpan w:val="4"/>
            <w:tcBorders>
              <w:top w:val="nil"/>
              <w:left w:val="nil"/>
              <w:bottom w:val="nil"/>
              <w:right w:val="nil"/>
              <w:tl2br w:val="nil"/>
              <w:tr2bl w:val="nil"/>
            </w:tcBorders>
            <w:noWrap/>
            <w:vAlign w:val="center"/>
          </w:tcPr>
          <w:p>
            <w:pPr>
              <w:rPr>
                <w:rFonts w:ascii="宋体" w:cs="宋体" w:hAnsi="宋体" w:hint="eastAsia"/>
                <w:sz w:val="24"/>
              </w:rPr>
            </w:pPr>
          </w:p>
        </w:tc>
        <w:tc>
          <w:tcPr>
            <w:tcW w:w="1260" w:type="dxa"/>
            <w:tcBorders>
              <w:top w:val="nil"/>
              <w:left w:val="nil"/>
              <w:bottom w:val="nil"/>
              <w:right w:val="nil"/>
              <w:tl2br w:val="nil"/>
              <w:tr2bl w:val="nil"/>
            </w:tcBorders>
            <w:noWrap/>
            <w:vAlign w:val="center"/>
          </w:tcPr>
          <w:p>
            <w:pPr>
              <w:rPr>
                <w:rFonts w:ascii="宋体" w:cs="宋体" w:hAnsi="宋体" w:hint="eastAsia"/>
                <w:sz w:val="24"/>
              </w:rPr>
            </w:pPr>
          </w:p>
        </w:tc>
        <w:tc>
          <w:tcPr>
            <w:tcW w:w="1471" w:type="dxa"/>
            <w:tcBorders>
              <w:top w:val="nil"/>
              <w:left w:val="nil"/>
              <w:bottom w:val="nil"/>
              <w:right w:val="nil"/>
              <w:tl2br w:val="nil"/>
              <w:tr2bl w:val="nil"/>
            </w:tcBorders>
            <w:noWrap/>
            <w:vAlign w:val="center"/>
          </w:tcPr>
          <w:p>
            <w:pPr>
              <w:rPr>
                <w:rFonts w:ascii="宋体" w:cs="宋体" w:hAnsi="宋体" w:hint="eastAsia"/>
                <w:sz w:val="24"/>
              </w:rPr>
            </w:pPr>
          </w:p>
        </w:tc>
        <w:tc>
          <w:tcPr>
            <w:tcW w:w="1371" w:type="dxa"/>
            <w:tcBorders>
              <w:top w:val="nil"/>
              <w:left w:val="nil"/>
              <w:bottom w:val="nil"/>
              <w:right w:val="nil"/>
              <w:tl2br w:val="nil"/>
              <w:tr2bl w:val="nil"/>
            </w:tcBorders>
            <w:noWrap/>
            <w:vAlign w:val="center"/>
          </w:tcPr>
          <w:p>
            <w:pPr>
              <w:rPr>
                <w:rFonts w:ascii="宋体" w:cs="宋体" w:hAnsi="宋体" w:hint="eastAsia"/>
                <w:sz w:val="24"/>
              </w:rPr>
            </w:pPr>
          </w:p>
        </w:tc>
        <w:tc>
          <w:tcPr>
            <w:tcW w:w="1243"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389" w:type="dxa"/>
            <w:tcBorders>
              <w:top w:val="nil"/>
              <w:left w:val="nil"/>
              <w:bottom w:val="nil"/>
              <w:right w:val="nil"/>
              <w:tl2br w:val="nil"/>
              <w:tr2bl w:val="nil"/>
            </w:tcBorders>
            <w:noWrap/>
            <w:vAlign w:val="center"/>
          </w:tcPr>
          <w:p>
            <w:pPr>
              <w:rPr>
                <w:rFonts w:ascii="宋体" w:cs="宋体" w:hAnsi="宋体" w:hint="eastAsia"/>
                <w:sz w:val="24"/>
              </w:rPr>
            </w:pPr>
          </w:p>
        </w:tc>
        <w:tc>
          <w:tcPr>
            <w:tcW w:w="1350"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347" w:type="dxa"/>
            <w:gridSpan w:val="2"/>
            <w:tcBorders>
              <w:top w:val="nil"/>
              <w:left w:val="nil"/>
              <w:bottom w:val="nil"/>
              <w:right w:val="nil"/>
              <w:tl2br w:val="nil"/>
              <w:tr2bl w:val="nil"/>
            </w:tcBorders>
            <w:noWrap/>
            <w:vAlign w:val="center"/>
          </w:tcPr>
          <w:p>
            <w:pPr>
              <w:jc w:val="right"/>
              <w:rPr>
                <w:rFonts w:ascii="宋体" w:cs="宋体" w:hAnsi="宋体" w:hint="eastAsia"/>
                <w:sz w:val="24"/>
              </w:rPr>
            </w:pPr>
            <w:r>
              <w:rPr>
                <w:rFonts w:ascii="宋体" w:cs="宋体" w:hAnsi="宋体" w:hint="eastAsia"/>
                <w:sz w:val="24"/>
              </w:rPr>
              <w:t>公开02表</w:t>
            </w:r>
          </w:p>
        </w:tc>
      </w:tr>
      <w:tr>
        <w:trPr>
          <w:trHeight w:val="284"/>
        </w:trPr>
        <w:tc>
          <w:tcPr>
            <w:tcW w:w="5463" w:type="dxa"/>
            <w:gridSpan w:val="5"/>
            <w:tcBorders>
              <w:top w:val="nil"/>
              <w:left w:val="nil"/>
              <w:bottom w:val="single" w:sz="6" w:space="0" w:color="000000"/>
              <w:right w:val="nil"/>
              <w:tl2br w:val="nil"/>
              <w:tr2bl w:val="nil"/>
            </w:tcBorders>
            <w:noWrap/>
            <w:vAlign w:val="center"/>
          </w:tcPr>
          <w:p>
            <w:pPr>
              <w:rPr>
                <w:rFonts w:ascii="宋体" w:cs="宋体" w:hAnsi="宋体" w:hint="eastAsia"/>
                <w:color w:val="000000"/>
                <w:sz w:val="24"/>
              </w:rPr>
            </w:pPr>
            <w:r>
              <w:rPr>
                <w:rFonts w:ascii="宋体" w:cs="宋体" w:hAnsi="宋体" w:hint="eastAsia"/>
                <w:color w:val="000000"/>
                <w:sz w:val="24"/>
              </w:rPr>
              <w:t>部门：中国电子口岸数据中心太原分中心</w:t>
            </w:r>
          </w:p>
        </w:tc>
        <w:tc>
          <w:tcPr>
            <w:tcW w:w="1471" w:type="dxa"/>
            <w:tcBorders>
              <w:top w:val="nil"/>
              <w:left w:val="nil"/>
              <w:bottom w:val="nil"/>
              <w:right w:val="nil"/>
              <w:tl2br w:val="nil"/>
              <w:tr2bl w:val="nil"/>
            </w:tcBorders>
            <w:noWrap/>
            <w:vAlign w:val="center"/>
          </w:tcPr>
          <w:p>
            <w:pPr>
              <w:rPr>
                <w:rFonts w:ascii="宋体" w:cs="宋体" w:hAnsi="宋体" w:hint="eastAsia"/>
                <w:sz w:val="24"/>
              </w:rPr>
            </w:pPr>
          </w:p>
        </w:tc>
        <w:tc>
          <w:tcPr>
            <w:tcW w:w="1371" w:type="dxa"/>
            <w:tcBorders>
              <w:top w:val="nil"/>
              <w:left w:val="nil"/>
              <w:bottom w:val="nil"/>
              <w:right w:val="nil"/>
              <w:tl2br w:val="nil"/>
              <w:tr2bl w:val="nil"/>
            </w:tcBorders>
            <w:noWrap/>
            <w:vAlign w:val="center"/>
          </w:tcPr>
          <w:p>
            <w:pPr>
              <w:jc w:val="center"/>
              <w:rPr>
                <w:rFonts w:ascii="宋体" w:cs="宋体" w:hAnsi="宋体" w:hint="eastAsia"/>
                <w:sz w:val="24"/>
              </w:rPr>
            </w:pPr>
          </w:p>
        </w:tc>
        <w:tc>
          <w:tcPr>
            <w:tcW w:w="1243"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389" w:type="dxa"/>
            <w:tcBorders>
              <w:top w:val="nil"/>
              <w:left w:val="nil"/>
              <w:bottom w:val="nil"/>
              <w:right w:val="nil"/>
              <w:tl2br w:val="nil"/>
              <w:tr2bl w:val="nil"/>
            </w:tcBorders>
            <w:noWrap/>
            <w:vAlign w:val="center"/>
          </w:tcPr>
          <w:p>
            <w:pPr>
              <w:rPr>
                <w:rFonts w:ascii="宋体" w:cs="宋体" w:hAnsi="宋体" w:hint="eastAsia"/>
                <w:sz w:val="24"/>
              </w:rPr>
            </w:pPr>
          </w:p>
        </w:tc>
        <w:tc>
          <w:tcPr>
            <w:tcW w:w="1350"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347" w:type="dxa"/>
            <w:gridSpan w:val="2"/>
            <w:tcBorders>
              <w:top w:val="nil"/>
              <w:left w:val="nil"/>
              <w:bottom w:val="nil"/>
              <w:right w:val="nil"/>
              <w:tl2br w:val="nil"/>
              <w:tr2bl w:val="nil"/>
            </w:tcBorders>
            <w:noWrap/>
            <w:vAlign w:val="center"/>
          </w:tcPr>
          <w:p>
            <w:pPr>
              <w:rPr>
                <w:rFonts w:ascii="宋体" w:cs="宋体" w:hAnsi="宋体" w:hint="eastAsia"/>
                <w:sz w:val="24"/>
              </w:rPr>
            </w:pPr>
            <w:r>
              <w:rPr>
                <w:rFonts w:ascii="宋体" w:cs="宋体" w:hAnsi="宋体" w:hint="eastAsia"/>
                <w:sz w:val="24"/>
              </w:rPr>
              <w:t>单位：万元</w:t>
            </w:r>
          </w:p>
        </w:tc>
      </w:tr>
      <w:tr>
        <w:trPr>
          <w:trHeight w:val="284"/>
        </w:trPr>
        <w:tc>
          <w:tcPr>
            <w:tcW w:w="4203"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项目</w:t>
            </w:r>
          </w:p>
        </w:tc>
        <w:tc>
          <w:tcPr>
            <w:tcW w:w="126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本年收入合计</w:t>
            </w:r>
          </w:p>
        </w:tc>
        <w:tc>
          <w:tcPr>
            <w:tcW w:w="1471" w:type="dxa"/>
            <w:vMerge w:val="restart"/>
            <w:tcBorders>
              <w:top w:val="single" w:sz="6" w:space="0" w:color="000000"/>
              <w:left w:val="nil"/>
              <w:bottom w:val="single" w:sz="6" w:space="0" w:color="000000"/>
              <w:right w:val="single" w:sz="6" w:space="0" w:color="000000"/>
              <w:tl2br w:val="nil"/>
              <w:tr2bl w:val="nil"/>
            </w:tcBorders>
            <w:noWrap/>
            <w:vAlign w:val="center"/>
          </w:tcPr>
          <w:p>
            <w:pPr>
              <w:tabs>
                <w:tab w:val="left" w:pos="196"/>
              </w:tabs>
              <w:jc w:val="center"/>
              <w:rPr>
                <w:rFonts w:ascii="宋体" w:cs="宋体" w:hAnsi="宋体" w:hint="eastAsia"/>
                <w:color w:val="000000"/>
                <w:sz w:val="22"/>
                <w:szCs w:val="22"/>
              </w:rPr>
            </w:pPr>
            <w:r>
              <w:rPr>
                <w:rFonts w:ascii="宋体" w:cs="宋体" w:hAnsi="宋体" w:hint="eastAsia"/>
                <w:color w:val="000000"/>
                <w:sz w:val="22"/>
                <w:szCs w:val="22"/>
              </w:rPr>
              <w:t xml:space="preserve">财政拨款收入 </w:t>
            </w:r>
          </w:p>
        </w:tc>
        <w:tc>
          <w:tcPr>
            <w:tcW w:w="1371"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上级补助收入</w:t>
            </w:r>
          </w:p>
        </w:tc>
        <w:tc>
          <w:tcPr>
            <w:tcW w:w="1243"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事业收入</w:t>
            </w:r>
          </w:p>
        </w:tc>
        <w:tc>
          <w:tcPr>
            <w:tcW w:w="1389"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经营收入</w:t>
            </w:r>
          </w:p>
        </w:tc>
        <w:tc>
          <w:tcPr>
            <w:tcW w:w="1350"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附属单位上缴收入</w:t>
            </w:r>
          </w:p>
        </w:tc>
        <w:tc>
          <w:tcPr>
            <w:tcW w:w="1347"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其他收入</w:t>
            </w:r>
          </w:p>
        </w:tc>
      </w:tr>
      <w:tr>
        <w:trPr>
          <w:trHeight w:val="246"/>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科目代码</w:t>
            </w:r>
          </w:p>
        </w:tc>
        <w:tc>
          <w:tcPr>
            <w:tcW w:w="2883"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科目名称</w:t>
            </w:r>
          </w:p>
        </w:tc>
        <w:tc>
          <w:tcPr>
            <w:tcW w:w="1260" w:type="dxa"/>
            <w:vMerge/>
            <w:tcBorders>
              <w:top w:val="nil"/>
              <w:left w:val="nil"/>
              <w:bottom w:val="single" w:sz="6" w:space="0" w:color="000000"/>
              <w:right w:val="single" w:sz="6" w:space="0" w:color="000000"/>
              <w:tl2br w:val="nil"/>
              <w:tr2bl w:val="nil"/>
            </w:tcBorders>
            <w:noWrap/>
            <w:vAlign w:val="center"/>
          </w:tcPr>
          <w:p/>
        </w:tc>
        <w:tc>
          <w:tcPr>
            <w:tcW w:w="1561" w:type="dxa"/>
            <w:vMerge/>
            <w:tcBorders>
              <w:top w:val="nil"/>
              <w:left w:val="nil"/>
              <w:bottom w:val="single" w:sz="6" w:space="0" w:color="000000"/>
              <w:right w:val="single" w:sz="6" w:space="0" w:color="000000"/>
              <w:tl2br w:val="nil"/>
              <w:tr2bl w:val="nil"/>
            </w:tcBorders>
            <w:noWrap/>
            <w:vAlign w:val="center"/>
          </w:tcPr>
          <w:p/>
        </w:tc>
        <w:tc>
          <w:tcPr>
            <w:tcW w:w="1371" w:type="dxa"/>
            <w:vMerge/>
            <w:tcBorders>
              <w:top w:val="nil"/>
              <w:left w:val="nil"/>
              <w:bottom w:val="single" w:sz="6" w:space="0" w:color="000000"/>
              <w:right w:val="single" w:sz="6" w:space="0" w:color="000000"/>
              <w:tl2br w:val="nil"/>
              <w:tr2bl w:val="nil"/>
            </w:tcBorders>
            <w:noWrap/>
            <w:vAlign w:val="center"/>
          </w:tcPr>
          <w:p/>
        </w:tc>
        <w:tc>
          <w:tcPr>
            <w:tcW w:w="1243" w:type="dxa"/>
            <w:gridSpan w:val="2"/>
            <w:vMerge/>
            <w:tcBorders>
              <w:top w:val="nil"/>
              <w:left w:val="nil"/>
              <w:bottom w:val="single" w:sz="6" w:space="0" w:color="000000"/>
              <w:right w:val="single" w:sz="6" w:space="0" w:color="000000"/>
              <w:tl2br w:val="nil"/>
              <w:tr2bl w:val="nil"/>
            </w:tcBorders>
            <w:noWrap/>
            <w:vAlign w:val="center"/>
          </w:tcPr>
          <w:p/>
        </w:tc>
        <w:tc>
          <w:tcPr>
            <w:tcW w:w="1389" w:type="dxa"/>
            <w:vMerge/>
            <w:tcBorders>
              <w:top w:val="nil"/>
              <w:left w:val="nil"/>
              <w:bottom w:val="single" w:sz="6" w:space="0" w:color="000000"/>
              <w:right w:val="single" w:sz="6" w:space="0" w:color="000000"/>
              <w:tl2br w:val="nil"/>
              <w:tr2bl w:val="nil"/>
            </w:tcBorders>
            <w:noWrap/>
            <w:vAlign w:val="center"/>
          </w:tcPr>
          <w:p/>
        </w:tc>
        <w:tc>
          <w:tcPr>
            <w:tcW w:w="1260" w:type="dxa"/>
            <w:gridSpan w:val="2"/>
            <w:vMerge/>
            <w:tcBorders>
              <w:top w:val="nil"/>
              <w:left w:val="nil"/>
              <w:bottom w:val="single" w:sz="6" w:space="0" w:color="000000"/>
              <w:right w:val="single" w:sz="6" w:space="0" w:color="000000"/>
              <w:tl2br w:val="nil"/>
              <w:tr2bl w:val="nil"/>
            </w:tcBorders>
            <w:noWrap/>
            <w:vAlign w:val="center"/>
          </w:tcPr>
          <w:p/>
        </w:tc>
        <w:tc>
          <w:tcPr>
            <w:tcW w:w="1347" w:type="dxa"/>
            <w:gridSpan w:val="2"/>
            <w:vMerge/>
            <w:tcBorders>
              <w:top w:val="nil"/>
              <w:left w:val="nil"/>
              <w:bottom w:val="single" w:sz="6" w:space="0" w:color="000000"/>
              <w:right w:val="single" w:sz="6" w:space="0" w:color="000000"/>
              <w:tl2br w:val="nil"/>
              <w:tr2bl w:val="nil"/>
            </w:tcBorders>
            <w:noWrap/>
            <w:vAlign w:val="center"/>
          </w:tcPr>
          <w:p/>
        </w:tc>
      </w:tr>
      <w:tr>
        <w:trPr>
          <w:trHeight w:val="404"/>
        </w:trPr>
        <w:tc>
          <w:tcPr>
            <w:tcW w:w="4203"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栏次</w:t>
            </w:r>
          </w:p>
        </w:tc>
        <w:tc>
          <w:tcPr>
            <w:tcW w:w="126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147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c>
          <w:tcPr>
            <w:tcW w:w="137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w:t>
            </w:r>
          </w:p>
        </w:tc>
        <w:tc>
          <w:tcPr>
            <w:tcW w:w="1243"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w:t>
            </w:r>
          </w:p>
        </w:tc>
        <w:tc>
          <w:tcPr>
            <w:tcW w:w="1389"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w:t>
            </w:r>
          </w:p>
        </w:tc>
        <w:tc>
          <w:tcPr>
            <w:tcW w:w="135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w:t>
            </w:r>
          </w:p>
        </w:tc>
        <w:tc>
          <w:tcPr>
            <w:tcW w:w="1347"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7</w:t>
            </w:r>
          </w:p>
        </w:tc>
      </w:tr>
      <w:tr>
        <w:trPr>
          <w:trHeight w:val="374"/>
        </w:trPr>
        <w:tc>
          <w:tcPr>
            <w:tcW w:w="4203"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合计</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118.58</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34"/>
              <w:jc w:val="right"/>
              <w:rPr>
                <w:rFonts w:ascii="宋体" w:cs="宋体" w:hAnsi="宋体" w:hint="eastAsia"/>
                <w:sz w:val="22"/>
                <w:szCs w:val="22"/>
              </w:rPr>
            </w:pPr>
            <w:r>
              <w:rPr>
                <w:rFonts w:ascii="宋体" w:cs="宋体" w:hAnsi="宋体" w:hint="eastAsia"/>
                <w:sz w:val="22"/>
                <w:szCs w:val="22"/>
              </w:rPr>
              <w:t xml:space="preserve">118.50 </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0.08</w:t>
            </w:r>
          </w:p>
        </w:tc>
      </w:tr>
      <w:tr>
        <w:trPr>
          <w:trHeight w:val="374"/>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201</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一般公共服务支出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103.22</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35"/>
              <w:jc w:val="right"/>
              <w:rPr>
                <w:rFonts w:ascii="宋体" w:cs="宋体" w:hAnsi="宋体" w:hint="eastAsia"/>
                <w:sz w:val="22"/>
                <w:szCs w:val="22"/>
              </w:rPr>
            </w:pPr>
            <w:r>
              <w:rPr>
                <w:rFonts w:ascii="宋体" w:cs="宋体" w:hAnsi="宋体" w:hint="eastAsia"/>
                <w:sz w:val="22"/>
                <w:szCs w:val="22"/>
              </w:rPr>
              <w:t xml:space="preserve">103.14 </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0.08</w:t>
            </w:r>
          </w:p>
        </w:tc>
      </w:tr>
      <w:tr>
        <w:trPr>
          <w:trHeight w:val="374"/>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20109</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 xml:space="preserve">  海关事务</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103.22</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36"/>
              <w:jc w:val="right"/>
              <w:rPr>
                <w:rFonts w:ascii="宋体" w:cs="宋体" w:hAnsi="宋体" w:hint="eastAsia"/>
                <w:sz w:val="22"/>
                <w:szCs w:val="22"/>
              </w:rPr>
            </w:pPr>
            <w:r>
              <w:rPr>
                <w:rFonts w:ascii="宋体" w:cs="宋体" w:hAnsi="宋体" w:hint="eastAsia"/>
                <w:sz w:val="22"/>
                <w:szCs w:val="22"/>
              </w:rPr>
              <w:t xml:space="preserve">103.14 </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0.08</w:t>
            </w:r>
          </w:p>
        </w:tc>
      </w:tr>
      <w:tr>
        <w:trPr>
          <w:trHeight w:val="374"/>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2010950</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 xml:space="preserve">    事业运行</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 xml:space="preserve">103.22 </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37"/>
              <w:jc w:val="right"/>
              <w:rPr>
                <w:rFonts w:ascii="宋体" w:cs="宋体" w:hAnsi="宋体" w:hint="eastAsia"/>
                <w:sz w:val="22"/>
                <w:szCs w:val="22"/>
              </w:rPr>
            </w:pPr>
            <w:r>
              <w:rPr>
                <w:rFonts w:ascii="宋体" w:cs="宋体" w:hAnsi="宋体" w:hint="eastAsia"/>
                <w:sz w:val="22"/>
                <w:szCs w:val="22"/>
              </w:rPr>
              <w:t xml:space="preserve">103.14 </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0.08</w:t>
            </w: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社会保障和就业支出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6.8</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38"/>
              <w:jc w:val="right"/>
              <w:rPr>
                <w:rFonts w:ascii="宋体" w:cs="宋体" w:hAnsi="宋体" w:hint="eastAsia"/>
                <w:sz w:val="22"/>
                <w:szCs w:val="22"/>
              </w:rPr>
            </w:pPr>
            <w:r>
              <w:rPr>
                <w:rFonts w:ascii="宋体" w:cs="宋体" w:hAnsi="宋体" w:hint="eastAsia"/>
                <w:sz w:val="22"/>
                <w:szCs w:val="22"/>
              </w:rPr>
              <w:t>6.8</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20805</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行政事业单位养老支出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6.</w:t>
            </w:r>
            <w:r>
              <w:rPr>
                <w:rFonts w:ascii="宋体" w:cs="宋体" w:hAnsi="宋体"/>
                <w:sz w:val="22"/>
                <w:szCs w:val="22"/>
              </w:rPr>
              <w:t>8</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39"/>
              <w:jc w:val="right"/>
              <w:rPr>
                <w:rFonts w:ascii="宋体" w:cs="宋体" w:hAnsi="宋体" w:hint="eastAsia"/>
                <w:sz w:val="22"/>
                <w:szCs w:val="22"/>
              </w:rPr>
            </w:pPr>
            <w:r>
              <w:rPr>
                <w:rFonts w:ascii="宋体" w:cs="宋体" w:hAnsi="宋体" w:hint="eastAsia"/>
                <w:sz w:val="22"/>
                <w:szCs w:val="22"/>
              </w:rPr>
              <w:t>6.8</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495"/>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2080505</w:t>
            </w:r>
          </w:p>
        </w:tc>
        <w:tc>
          <w:tcPr>
            <w:tcW w:w="2883" w:type="dxa"/>
            <w:gridSpan w:val="2"/>
            <w:tcBorders>
              <w:top w:val="nil"/>
              <w:left w:val="nil"/>
              <w:bottom w:val="single" w:sz="6" w:space="0" w:color="000000"/>
              <w:right w:val="single" w:sz="6" w:space="0" w:color="000000"/>
              <w:tl2br w:val="nil"/>
              <w:tr2bl w:val="nil"/>
            </w:tcBorders>
            <w:noWrap/>
            <w:vAlign w:val="center"/>
          </w:tcPr>
          <w:p>
            <w:pPr>
              <w:ind w:firstLineChars="50" w:firstLine="110"/>
              <w:rPr>
                <w:rFonts w:ascii="宋体" w:cs="宋体" w:hAnsi="宋体" w:hint="eastAsia"/>
                <w:sz w:val="22"/>
                <w:szCs w:val="22"/>
              </w:rPr>
            </w:pPr>
            <w:r>
              <w:rPr>
                <w:rFonts w:ascii="宋体" w:cs="宋体" w:hAnsi="宋体" w:hint="eastAsia"/>
                <w:sz w:val="22"/>
                <w:szCs w:val="22"/>
              </w:rPr>
              <w:t>机关事业单位基本养老保险缴费支出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4.56</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0"/>
              <w:jc w:val="right"/>
              <w:rPr>
                <w:rFonts w:ascii="宋体" w:cs="宋体" w:hAnsi="宋体" w:hint="eastAsia"/>
                <w:sz w:val="22"/>
                <w:szCs w:val="22"/>
              </w:rPr>
            </w:pPr>
            <w:r>
              <w:rPr>
                <w:rFonts w:ascii="宋体" w:cs="宋体" w:hAnsi="宋体" w:hint="eastAsia"/>
                <w:sz w:val="22"/>
                <w:szCs w:val="22"/>
              </w:rPr>
              <w:t>4.56</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2080506</w:t>
            </w:r>
          </w:p>
        </w:tc>
        <w:tc>
          <w:tcPr>
            <w:tcW w:w="2883" w:type="dxa"/>
            <w:gridSpan w:val="2"/>
            <w:tcBorders>
              <w:top w:val="nil"/>
              <w:left w:val="nil"/>
              <w:bottom w:val="single" w:sz="6" w:space="0" w:color="000000"/>
              <w:right w:val="single" w:sz="6" w:space="0" w:color="000000"/>
              <w:tl2br w:val="nil"/>
              <w:tr2bl w:val="nil"/>
            </w:tcBorders>
            <w:noWrap/>
            <w:vAlign w:val="center"/>
          </w:tcPr>
          <w:p>
            <w:pPr>
              <w:ind w:firstLineChars="50" w:firstLine="110"/>
              <w:rPr>
                <w:rFonts w:ascii="宋体" w:cs="宋体" w:hAnsi="宋体" w:hint="eastAsia"/>
                <w:sz w:val="22"/>
                <w:szCs w:val="22"/>
              </w:rPr>
            </w:pPr>
            <w:r>
              <w:rPr>
                <w:rFonts w:ascii="宋体" w:cs="宋体" w:hAnsi="宋体" w:hint="eastAsia"/>
                <w:sz w:val="22"/>
                <w:szCs w:val="22"/>
              </w:rPr>
              <w:t>机关事业单位职业年金缴费支出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2.25</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1"/>
              <w:jc w:val="right"/>
              <w:rPr>
                <w:rFonts w:ascii="宋体" w:cs="宋体" w:hAnsi="宋体" w:hint="eastAsia"/>
                <w:sz w:val="22"/>
                <w:szCs w:val="22"/>
              </w:rPr>
            </w:pPr>
            <w:r>
              <w:rPr>
                <w:rFonts w:ascii="宋体" w:cs="宋体" w:hAnsi="宋体" w:hint="eastAsia"/>
                <w:sz w:val="22"/>
                <w:szCs w:val="22"/>
              </w:rPr>
              <w:t>2.25</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210</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卫生健康支出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3.31</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2"/>
              <w:jc w:val="right"/>
              <w:rPr>
                <w:rFonts w:ascii="宋体" w:cs="宋体" w:hAnsi="宋体" w:hint="eastAsia"/>
                <w:sz w:val="22"/>
                <w:szCs w:val="22"/>
              </w:rPr>
            </w:pPr>
            <w:r>
              <w:rPr>
                <w:rFonts w:ascii="宋体" w:cs="宋体" w:hAnsi="宋体" w:hint="eastAsia"/>
                <w:sz w:val="22"/>
                <w:szCs w:val="22"/>
              </w:rPr>
              <w:t>3.31</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21011</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行政事业单位医疗</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3.31</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3"/>
              <w:jc w:val="right"/>
              <w:rPr>
                <w:rFonts w:ascii="宋体" w:cs="宋体" w:hAnsi="宋体" w:hint="eastAsia"/>
                <w:sz w:val="22"/>
                <w:szCs w:val="22"/>
              </w:rPr>
            </w:pPr>
            <w:r>
              <w:rPr>
                <w:rFonts w:ascii="宋体" w:cs="宋体" w:hAnsi="宋体" w:hint="eastAsia"/>
                <w:sz w:val="22"/>
                <w:szCs w:val="22"/>
              </w:rPr>
              <w:t>3.31</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2101102</w:t>
            </w:r>
          </w:p>
        </w:tc>
        <w:tc>
          <w:tcPr>
            <w:tcW w:w="2883" w:type="dxa"/>
            <w:gridSpan w:val="2"/>
            <w:tcBorders>
              <w:top w:val="nil"/>
              <w:left w:val="nil"/>
              <w:bottom w:val="single" w:sz="6" w:space="0" w:color="000000"/>
              <w:right w:val="single" w:sz="6" w:space="0" w:color="000000"/>
              <w:tl2br w:val="nil"/>
              <w:tr2bl w:val="nil"/>
            </w:tcBorders>
            <w:noWrap/>
            <w:vAlign w:val="center"/>
          </w:tcPr>
          <w:p>
            <w:pPr>
              <w:ind w:firstLineChars="100" w:firstLine="220"/>
              <w:rPr>
                <w:rFonts w:ascii="宋体" w:cs="宋体" w:hAnsi="宋体" w:hint="eastAsia"/>
                <w:sz w:val="22"/>
                <w:szCs w:val="22"/>
              </w:rPr>
            </w:pPr>
            <w:r>
              <w:rPr>
                <w:rFonts w:ascii="宋体" w:cs="宋体" w:hAnsi="宋体" w:hint="eastAsia"/>
                <w:sz w:val="22"/>
                <w:szCs w:val="22"/>
              </w:rPr>
              <w:t>事业单位医疗</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3.31</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4"/>
              <w:jc w:val="right"/>
              <w:rPr>
                <w:rFonts w:ascii="宋体" w:cs="宋体" w:hAnsi="宋体" w:hint="eastAsia"/>
                <w:sz w:val="22"/>
                <w:szCs w:val="22"/>
              </w:rPr>
            </w:pPr>
            <w:r>
              <w:rPr>
                <w:rFonts w:ascii="宋体" w:cs="宋体" w:hAnsi="宋体" w:hint="eastAsia"/>
                <w:sz w:val="22"/>
                <w:szCs w:val="22"/>
              </w:rPr>
              <w:t>3.31</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221</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住房保障支出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5.25</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5"/>
              <w:jc w:val="right"/>
              <w:rPr>
                <w:rFonts w:ascii="宋体" w:cs="宋体" w:hAnsi="宋体" w:hint="eastAsia"/>
                <w:sz w:val="22"/>
                <w:szCs w:val="22"/>
              </w:rPr>
            </w:pPr>
            <w:r>
              <w:rPr>
                <w:rFonts w:ascii="宋体" w:cs="宋体" w:hAnsi="宋体" w:hint="eastAsia"/>
                <w:sz w:val="22"/>
                <w:szCs w:val="22"/>
              </w:rPr>
              <w:t>5.25</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22102</w:t>
            </w:r>
          </w:p>
        </w:tc>
        <w:tc>
          <w:tcPr>
            <w:tcW w:w="2883" w:type="dxa"/>
            <w:gridSpan w:val="2"/>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住房改革支出</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5.25</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6"/>
              <w:jc w:val="right"/>
              <w:rPr>
                <w:rFonts w:ascii="宋体" w:cs="宋体" w:hAnsi="宋体" w:hint="eastAsia"/>
                <w:sz w:val="22"/>
                <w:szCs w:val="22"/>
              </w:rPr>
            </w:pPr>
            <w:r>
              <w:rPr>
                <w:rFonts w:ascii="宋体" w:cs="宋体" w:hAnsi="宋体" w:hint="eastAsia"/>
                <w:sz w:val="22"/>
                <w:szCs w:val="22"/>
              </w:rPr>
              <w:t>5.25</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2210201</w:t>
            </w:r>
          </w:p>
        </w:tc>
        <w:tc>
          <w:tcPr>
            <w:tcW w:w="2883" w:type="dxa"/>
            <w:gridSpan w:val="2"/>
            <w:tcBorders>
              <w:top w:val="nil"/>
              <w:left w:val="nil"/>
              <w:bottom w:val="single" w:sz="6" w:space="0" w:color="000000"/>
              <w:right w:val="single" w:sz="6" w:space="0" w:color="000000"/>
              <w:tl2br w:val="nil"/>
              <w:tr2bl w:val="nil"/>
            </w:tcBorders>
            <w:noWrap/>
            <w:vAlign w:val="center"/>
          </w:tcPr>
          <w:p>
            <w:pPr>
              <w:ind w:firstLineChars="100" w:firstLine="220"/>
              <w:rPr>
                <w:rFonts w:ascii="宋体" w:cs="宋体" w:hAnsi="宋体" w:hint="eastAsia"/>
                <w:sz w:val="22"/>
                <w:szCs w:val="22"/>
              </w:rPr>
            </w:pPr>
            <w:r>
              <w:rPr>
                <w:rFonts w:ascii="宋体" w:cs="宋体" w:hAnsi="宋体" w:hint="eastAsia"/>
                <w:sz w:val="22"/>
                <w:szCs w:val="22"/>
              </w:rPr>
              <w:t>住房公积金</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5.25</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7"/>
              <w:jc w:val="right"/>
              <w:rPr>
                <w:rFonts w:ascii="宋体" w:cs="宋体" w:hAnsi="宋体" w:hint="eastAsia"/>
                <w:sz w:val="22"/>
                <w:szCs w:val="22"/>
              </w:rPr>
            </w:pPr>
            <w:r>
              <w:rPr>
                <w:rFonts w:ascii="宋体" w:cs="宋体" w:hAnsi="宋体" w:hint="eastAsia"/>
                <w:sz w:val="22"/>
                <w:szCs w:val="22"/>
              </w:rPr>
              <w:t>5.25</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373"/>
        </w:trPr>
        <w:tc>
          <w:tcPr>
            <w:tcW w:w="13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2210203</w:t>
            </w:r>
          </w:p>
        </w:tc>
        <w:tc>
          <w:tcPr>
            <w:tcW w:w="2883" w:type="dxa"/>
            <w:gridSpan w:val="2"/>
            <w:tcBorders>
              <w:top w:val="nil"/>
              <w:left w:val="nil"/>
              <w:bottom w:val="single" w:sz="6" w:space="0" w:color="000000"/>
              <w:right w:val="single" w:sz="6" w:space="0" w:color="000000"/>
              <w:tl2br w:val="nil"/>
              <w:tr2bl w:val="nil"/>
            </w:tcBorders>
            <w:noWrap/>
            <w:vAlign w:val="center"/>
          </w:tcPr>
          <w:p>
            <w:pPr>
              <w:ind w:firstLineChars="100" w:firstLine="220"/>
              <w:rPr>
                <w:rFonts w:ascii="宋体" w:cs="宋体" w:hAnsi="宋体" w:hint="eastAsia"/>
                <w:sz w:val="22"/>
                <w:szCs w:val="22"/>
              </w:rPr>
            </w:pPr>
            <w:r>
              <w:rPr>
                <w:rFonts w:ascii="宋体" w:cs="宋体" w:hAnsi="宋体" w:hint="eastAsia"/>
                <w:sz w:val="22"/>
                <w:szCs w:val="22"/>
              </w:rPr>
              <w:t>购房补贴</w:t>
            </w:r>
          </w:p>
        </w:tc>
        <w:tc>
          <w:tcPr>
            <w:tcW w:w="126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0</w:t>
            </w:r>
          </w:p>
        </w:tc>
        <w:tc>
          <w:tcPr>
            <w:tcW w:w="14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7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43" w:type="dxa"/>
            <w:gridSpan w:val="2"/>
            <w:tcBorders>
              <w:top w:val="nil"/>
              <w:left w:val="nil"/>
              <w:bottom w:val="single" w:sz="6" w:space="0" w:color="000000"/>
              <w:right w:val="single" w:sz="6" w:space="0" w:color="000000"/>
              <w:tl2br w:val="nil"/>
              <w:tr2bl w:val="nil"/>
            </w:tcBorders>
            <w:noWrap/>
            <w:vAlign w:val="center"/>
          </w:tcPr>
          <w:p>
            <w:pPr>
              <w:pStyle w:val="48"/>
              <w:jc w:val="right"/>
              <w:rPr>
                <w:rFonts w:ascii="宋体" w:cs="宋体" w:hAnsi="宋体" w:hint="eastAsia"/>
                <w:sz w:val="22"/>
                <w:szCs w:val="22"/>
              </w:rPr>
            </w:pPr>
            <w:r>
              <w:rPr>
                <w:rFonts w:ascii="宋体" w:cs="宋体" w:hAnsi="宋体" w:hint="eastAsia"/>
                <w:sz w:val="22"/>
                <w:szCs w:val="22"/>
              </w:rPr>
              <w:t>0</w:t>
            </w:r>
          </w:p>
        </w:tc>
        <w:tc>
          <w:tcPr>
            <w:tcW w:w="138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color w:val="FF0000"/>
                <w:sz w:val="22"/>
                <w:szCs w:val="22"/>
              </w:rPr>
            </w:pPr>
          </w:p>
        </w:tc>
        <w:tc>
          <w:tcPr>
            <w:tcW w:w="135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color w:val="FF0000"/>
                <w:sz w:val="22"/>
                <w:szCs w:val="22"/>
              </w:rPr>
            </w:pPr>
          </w:p>
        </w:tc>
        <w:tc>
          <w:tcPr>
            <w:tcW w:w="1347"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color w:val="FF0000"/>
                <w:sz w:val="22"/>
                <w:szCs w:val="22"/>
              </w:rPr>
            </w:pPr>
          </w:p>
        </w:tc>
      </w:tr>
      <w:tr>
        <w:trPr>
          <w:trHeight w:val="284"/>
        </w:trPr>
        <w:tc>
          <w:tcPr>
            <w:tcW w:w="13634" w:type="dxa"/>
            <w:gridSpan w:val="14"/>
            <w:tcBorders>
              <w:top w:val="nil"/>
              <w:left w:val="nil"/>
              <w:bottom w:val="nil"/>
              <w:right w:val="nil"/>
              <w:tl2br w:val="nil"/>
              <w:tr2bl w:val="nil"/>
            </w:tcBorders>
            <w:noWrap/>
            <w:vAlign w:val="center"/>
          </w:tcPr>
          <w:p>
            <w:pPr>
              <w:rPr>
                <w:rFonts w:ascii="Times New Roman" w:eastAsia="宋体" w:cs="Times New Roman" w:hAnsi="Times New Roman"/>
                <w:color w:val="000000"/>
                <w:sz w:val="24"/>
              </w:rPr>
            </w:pPr>
            <w:r>
              <w:rPr>
                <w:rFonts w:ascii="Times New Roman" w:eastAsia="宋体" w:cs="Times New Roman" w:hAnsi="Times New Roman"/>
                <w:color w:val="000000"/>
                <w:sz w:val="24"/>
              </w:rPr>
              <w:t>注：本表反映部门本年度取得的各项收入情况。</w:t>
            </w:r>
          </w:p>
        </w:tc>
      </w:tr>
      <w:tr>
        <w:trPr>
          <w:trHeight w:val="539"/>
          <w:gridAfter w:val="1"/>
          <w:wAfter w:w="265" w:type="dxa"/>
        </w:trPr>
        <w:tc>
          <w:tcPr>
            <w:tcW w:w="13369" w:type="dxa"/>
            <w:gridSpan w:val="13"/>
            <w:tcBorders>
              <w:top w:val="nil"/>
              <w:left w:val="nil"/>
              <w:bottom w:val="nil"/>
              <w:right w:val="nil"/>
              <w:tl2br w:val="nil"/>
              <w:tr2bl w:val="nil"/>
            </w:tcBorders>
            <w:noWrap/>
            <w:vAlign w:val="center"/>
          </w:tcPr>
          <w:tbl>
            <w:tblPr>
              <w:jc w:val="left"/>
              <w:tblInd w:w="537" w:type="dxa"/>
              <w:tblW w:w="1237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10"/>
              <w:gridCol w:w="147"/>
              <w:gridCol w:w="228"/>
              <w:gridCol w:w="2503"/>
              <w:gridCol w:w="209"/>
              <w:gridCol w:w="1684"/>
              <w:gridCol w:w="1355"/>
              <w:gridCol w:w="1241"/>
              <w:gridCol w:w="1259"/>
              <w:gridCol w:w="1222"/>
              <w:gridCol w:w="1415"/>
            </w:tblGrid>
            <w:tr>
              <w:trPr>
                <w:trHeight w:val="539"/>
              </w:trPr>
              <w:tc>
                <w:tcPr>
                  <w:tcW w:w="12373" w:type="dxa"/>
                  <w:gridSpan w:val="11"/>
                  <w:tcBorders>
                    <w:top w:val="nil"/>
                    <w:left w:val="nil"/>
                    <w:bottom w:val="nil"/>
                    <w:right w:val="nil"/>
                    <w:tl2br w:val="nil"/>
                    <w:tr2bl w:val="nil"/>
                  </w:tcBorders>
                  <w:noWrap/>
                  <w:vAlign w:val="center"/>
                </w:tcPr>
                <w:p>
                  <w:pPr>
                    <w:ind w:left="0" w:firstLineChars="1200" w:firstLine="5280"/>
                    <w:rPr>
                      <w:rFonts w:ascii="宋体" w:cs="宋体" w:hAnsi="宋体" w:hint="eastAsia"/>
                      <w:b/>
                      <w:bCs/>
                      <w:color w:val="000000"/>
                      <w:sz w:val="44"/>
                      <w:szCs w:val="44"/>
                    </w:rPr>
                  </w:pPr>
                  <w:r>
                    <w:rPr>
                      <w:rFonts w:ascii="宋体" w:cs="宋体" w:hAnsi="宋体" w:hint="eastAsia"/>
                      <w:b/>
                      <w:bCs/>
                      <w:color w:val="000000"/>
                      <w:sz w:val="44"/>
                      <w:szCs w:val="44"/>
                    </w:rPr>
                    <w:t>支出决算表</w:t>
                  </w:r>
                </w:p>
              </w:tc>
            </w:tr>
            <w:tr>
              <w:trPr>
                <w:trHeight w:val="284"/>
              </w:trPr>
              <w:tc>
                <w:tcPr>
                  <w:tcW w:w="1110" w:type="dxa"/>
                  <w:tcBorders>
                    <w:top w:val="nil"/>
                    <w:left w:val="nil"/>
                    <w:bottom w:val="nil"/>
                    <w:right w:val="nil"/>
                    <w:tl2br w:val="nil"/>
                    <w:tr2bl w:val="nil"/>
                  </w:tcBorders>
                  <w:noWrap/>
                  <w:vAlign w:val="center"/>
                </w:tcPr>
                <w:p>
                  <w:pPr>
                    <w:rPr>
                      <w:rFonts w:ascii="宋体" w:cs="宋体" w:hAnsi="宋体" w:hint="eastAsia"/>
                      <w:sz w:val="24"/>
                    </w:rPr>
                  </w:pPr>
                </w:p>
              </w:tc>
              <w:tc>
                <w:tcPr>
                  <w:tcW w:w="375"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2503" w:type="dxa"/>
                  <w:tcBorders>
                    <w:top w:val="nil"/>
                    <w:left w:val="nil"/>
                    <w:bottom w:val="nil"/>
                    <w:right w:val="nil"/>
                    <w:tl2br w:val="nil"/>
                    <w:tr2bl w:val="nil"/>
                  </w:tcBorders>
                  <w:noWrap/>
                  <w:vAlign w:val="center"/>
                </w:tcPr>
                <w:p>
                  <w:pPr>
                    <w:rPr>
                      <w:rFonts w:ascii="宋体" w:cs="宋体" w:hAnsi="宋体" w:hint="eastAsia"/>
                      <w:sz w:val="24"/>
                    </w:rPr>
                  </w:pPr>
                </w:p>
              </w:tc>
              <w:tc>
                <w:tcPr>
                  <w:tcW w:w="1893"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355" w:type="dxa"/>
                  <w:tcBorders>
                    <w:top w:val="nil"/>
                    <w:left w:val="nil"/>
                    <w:bottom w:val="nil"/>
                    <w:right w:val="nil"/>
                    <w:tl2br w:val="nil"/>
                    <w:tr2bl w:val="nil"/>
                  </w:tcBorders>
                  <w:noWrap/>
                  <w:vAlign w:val="center"/>
                </w:tcPr>
                <w:p>
                  <w:pPr>
                    <w:rPr>
                      <w:rFonts w:ascii="宋体" w:cs="宋体" w:hAnsi="宋体" w:hint="eastAsia"/>
                      <w:sz w:val="24"/>
                    </w:rPr>
                  </w:pPr>
                </w:p>
              </w:tc>
              <w:tc>
                <w:tcPr>
                  <w:tcW w:w="1241" w:type="dxa"/>
                  <w:tcBorders>
                    <w:top w:val="nil"/>
                    <w:left w:val="nil"/>
                    <w:bottom w:val="nil"/>
                    <w:right w:val="nil"/>
                    <w:tl2br w:val="nil"/>
                    <w:tr2bl w:val="nil"/>
                  </w:tcBorders>
                  <w:noWrap/>
                  <w:vAlign w:val="center"/>
                </w:tcPr>
                <w:p>
                  <w:pPr>
                    <w:rPr>
                      <w:rFonts w:ascii="宋体" w:cs="宋体" w:hAnsi="宋体" w:hint="eastAsia"/>
                      <w:sz w:val="24"/>
                    </w:rPr>
                  </w:pPr>
                </w:p>
              </w:tc>
              <w:tc>
                <w:tcPr>
                  <w:tcW w:w="1259" w:type="dxa"/>
                  <w:tcBorders>
                    <w:top w:val="nil"/>
                    <w:left w:val="nil"/>
                    <w:bottom w:val="nil"/>
                    <w:right w:val="nil"/>
                    <w:tl2br w:val="nil"/>
                    <w:tr2bl w:val="nil"/>
                  </w:tcBorders>
                  <w:noWrap/>
                  <w:vAlign w:val="center"/>
                </w:tcPr>
                <w:p>
                  <w:pPr>
                    <w:rPr>
                      <w:rFonts w:ascii="宋体" w:cs="宋体" w:hAnsi="宋体" w:hint="eastAsia"/>
                      <w:sz w:val="24"/>
                    </w:rPr>
                  </w:pPr>
                </w:p>
              </w:tc>
              <w:tc>
                <w:tcPr>
                  <w:tcW w:w="1222" w:type="dxa"/>
                  <w:tcBorders>
                    <w:top w:val="nil"/>
                    <w:left w:val="nil"/>
                    <w:bottom w:val="nil"/>
                    <w:right w:val="nil"/>
                    <w:tl2br w:val="nil"/>
                    <w:tr2bl w:val="nil"/>
                  </w:tcBorders>
                  <w:noWrap/>
                  <w:vAlign w:val="center"/>
                </w:tcPr>
                <w:p>
                  <w:pPr>
                    <w:rPr>
                      <w:rFonts w:ascii="宋体" w:cs="宋体" w:hAnsi="宋体" w:hint="eastAsia"/>
                      <w:sz w:val="24"/>
                    </w:rPr>
                  </w:pPr>
                </w:p>
              </w:tc>
              <w:tc>
                <w:tcPr>
                  <w:tcW w:w="1415" w:type="dxa"/>
                  <w:tcBorders>
                    <w:top w:val="nil"/>
                    <w:left w:val="nil"/>
                    <w:bottom w:val="nil"/>
                    <w:right w:val="nil"/>
                    <w:tl2br w:val="nil"/>
                    <w:tr2bl w:val="nil"/>
                  </w:tcBorders>
                  <w:noWrap/>
                  <w:vAlign w:val="center"/>
                </w:tcPr>
                <w:p>
                  <w:pPr>
                    <w:rPr>
                      <w:rFonts w:ascii="宋体" w:cs="宋体" w:hAnsi="宋体" w:hint="eastAsia"/>
                      <w:sz w:val="24"/>
                    </w:rPr>
                  </w:pPr>
                  <w:r>
                    <w:rPr>
                      <w:rFonts w:ascii="宋体" w:cs="宋体" w:hAnsi="宋体" w:hint="eastAsia"/>
                      <w:sz w:val="24"/>
                    </w:rPr>
                    <w:t>公开03表</w:t>
                  </w:r>
                </w:p>
              </w:tc>
            </w:tr>
            <w:tr>
              <w:trPr>
                <w:trHeight w:val="284"/>
              </w:trPr>
              <w:tc>
                <w:tcPr>
                  <w:tcW w:w="5881" w:type="dxa"/>
                  <w:gridSpan w:val="6"/>
                  <w:tcBorders>
                    <w:top w:val="nil"/>
                    <w:left w:val="nil"/>
                    <w:bottom w:val="single" w:sz="6" w:space="0" w:color="000000"/>
                    <w:right w:val="nil"/>
                    <w:tl2br w:val="nil"/>
                    <w:tr2bl w:val="nil"/>
                  </w:tcBorders>
                  <w:noWrap/>
                  <w:vAlign w:val="center"/>
                </w:tcPr>
                <w:p>
                  <w:pPr>
                    <w:rPr>
                      <w:rFonts w:ascii="宋体" w:cs="宋体" w:hAnsi="宋体" w:hint="eastAsia"/>
                      <w:color w:val="000000"/>
                      <w:sz w:val="24"/>
                    </w:rPr>
                  </w:pPr>
                  <w:r>
                    <w:rPr>
                      <w:rFonts w:ascii="宋体" w:cs="宋体" w:hAnsi="宋体" w:hint="eastAsia"/>
                      <w:color w:val="000000"/>
                      <w:sz w:val="24"/>
                    </w:rPr>
                    <w:t>部门：中国电子口岸数据中心太原分中心</w:t>
                  </w:r>
                </w:p>
              </w:tc>
              <w:tc>
                <w:tcPr>
                  <w:tcW w:w="1355" w:type="dxa"/>
                  <w:tcBorders>
                    <w:top w:val="nil"/>
                    <w:left w:val="nil"/>
                    <w:bottom w:val="nil"/>
                    <w:right w:val="nil"/>
                    <w:tl2br w:val="nil"/>
                    <w:tr2bl w:val="nil"/>
                  </w:tcBorders>
                  <w:noWrap/>
                  <w:vAlign w:val="center"/>
                </w:tcPr>
                <w:p>
                  <w:pPr>
                    <w:rPr>
                      <w:rFonts w:ascii="宋体" w:cs="宋体" w:hAnsi="宋体" w:hint="eastAsia"/>
                      <w:sz w:val="24"/>
                    </w:rPr>
                  </w:pPr>
                </w:p>
              </w:tc>
              <w:tc>
                <w:tcPr>
                  <w:tcW w:w="1241" w:type="dxa"/>
                  <w:tcBorders>
                    <w:top w:val="nil"/>
                    <w:left w:val="nil"/>
                    <w:bottom w:val="nil"/>
                    <w:right w:val="nil"/>
                    <w:tl2br w:val="nil"/>
                    <w:tr2bl w:val="nil"/>
                  </w:tcBorders>
                  <w:noWrap/>
                  <w:vAlign w:val="center"/>
                </w:tcPr>
                <w:p>
                  <w:pPr>
                    <w:rPr>
                      <w:rFonts w:ascii="宋体" w:cs="宋体" w:hAnsi="宋体" w:hint="eastAsia"/>
                      <w:sz w:val="24"/>
                    </w:rPr>
                  </w:pPr>
                </w:p>
              </w:tc>
              <w:tc>
                <w:tcPr>
                  <w:tcW w:w="1259" w:type="dxa"/>
                  <w:tcBorders>
                    <w:top w:val="nil"/>
                    <w:left w:val="nil"/>
                    <w:bottom w:val="nil"/>
                    <w:right w:val="nil"/>
                    <w:tl2br w:val="nil"/>
                    <w:tr2bl w:val="nil"/>
                  </w:tcBorders>
                  <w:noWrap/>
                  <w:vAlign w:val="center"/>
                </w:tcPr>
                <w:p>
                  <w:pPr>
                    <w:rPr>
                      <w:rFonts w:ascii="宋体" w:cs="宋体" w:hAnsi="宋体" w:hint="eastAsia"/>
                      <w:sz w:val="24"/>
                    </w:rPr>
                  </w:pPr>
                </w:p>
              </w:tc>
              <w:tc>
                <w:tcPr>
                  <w:tcW w:w="1222" w:type="dxa"/>
                  <w:tcBorders>
                    <w:top w:val="nil"/>
                    <w:left w:val="nil"/>
                    <w:bottom w:val="nil"/>
                    <w:right w:val="nil"/>
                    <w:tl2br w:val="nil"/>
                    <w:tr2bl w:val="nil"/>
                  </w:tcBorders>
                  <w:noWrap/>
                  <w:vAlign w:val="center"/>
                </w:tcPr>
                <w:p>
                  <w:pPr>
                    <w:rPr>
                      <w:rFonts w:ascii="宋体" w:cs="宋体" w:hAnsi="宋体" w:hint="eastAsia"/>
                      <w:sz w:val="24"/>
                    </w:rPr>
                  </w:pPr>
                </w:p>
              </w:tc>
              <w:tc>
                <w:tcPr>
                  <w:tcW w:w="1415" w:type="dxa"/>
                  <w:tcBorders>
                    <w:top w:val="nil"/>
                    <w:left w:val="nil"/>
                    <w:bottom w:val="nil"/>
                    <w:right w:val="nil"/>
                    <w:tl2br w:val="nil"/>
                    <w:tr2bl w:val="nil"/>
                  </w:tcBorders>
                  <w:noWrap/>
                  <w:vAlign w:val="center"/>
                </w:tcPr>
                <w:p>
                  <w:pPr>
                    <w:rPr>
                      <w:rFonts w:ascii="宋体" w:cs="宋体" w:hAnsi="宋体" w:hint="eastAsia"/>
                      <w:sz w:val="24"/>
                    </w:rPr>
                  </w:pPr>
                  <w:r>
                    <w:rPr>
                      <w:rFonts w:ascii="宋体" w:cs="宋体" w:hAnsi="宋体" w:hint="eastAsia"/>
                      <w:sz w:val="24"/>
                    </w:rPr>
                    <w:t>单位：万元</w:t>
                  </w:r>
                </w:p>
              </w:tc>
            </w:tr>
            <w:tr>
              <w:trPr>
                <w:trHeight w:val="284"/>
              </w:trPr>
              <w:tc>
                <w:tcPr>
                  <w:tcW w:w="4197"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项目</w:t>
                  </w:r>
                </w:p>
              </w:tc>
              <w:tc>
                <w:tcPr>
                  <w:tcW w:w="1684"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本年支出合计</w:t>
                  </w:r>
                </w:p>
              </w:tc>
              <w:tc>
                <w:tcPr>
                  <w:tcW w:w="135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基本支出</w:t>
                  </w:r>
                </w:p>
              </w:tc>
              <w:tc>
                <w:tcPr>
                  <w:tcW w:w="1241"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项目支出</w:t>
                  </w:r>
                </w:p>
              </w:tc>
              <w:tc>
                <w:tcPr>
                  <w:tcW w:w="1259"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上缴上级支出</w:t>
                  </w:r>
                </w:p>
              </w:tc>
              <w:tc>
                <w:tcPr>
                  <w:tcW w:w="1222"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经营支出</w:t>
                  </w:r>
                </w:p>
              </w:tc>
              <w:tc>
                <w:tcPr>
                  <w:tcW w:w="1415" w:type="dxa"/>
                  <w:vMerge w:val="restart"/>
                  <w:tcBorders>
                    <w:top w:val="single" w:sz="6" w:space="0" w:color="000000"/>
                    <w:left w:val="nil"/>
                    <w:bottom w:val="single" w:sz="6" w:space="0" w:color="000000"/>
                    <w:right w:val="single" w:sz="6" w:space="0" w:color="000000"/>
                    <w:tl2br w:val="nil"/>
                    <w:tr2bl w:val="nil"/>
                  </w:tcBorders>
                  <w:noWrap/>
                  <w:vAlign w:val="center"/>
                </w:tcPr>
                <w:p>
                  <w:pPr>
                    <w:pStyle w:val="49"/>
                    <w:jc w:val="center"/>
                    <w:rPr>
                      <w:rFonts w:ascii="宋体" w:cs="宋体" w:hAnsi="宋体" w:hint="eastAsia"/>
                      <w:color w:val="000000"/>
                      <w:sz w:val="22"/>
                      <w:szCs w:val="22"/>
                    </w:rPr>
                  </w:pPr>
                  <w:r>
                    <w:rPr>
                      <w:rFonts w:ascii="宋体" w:cs="宋体" w:hAnsi="宋体" w:hint="eastAsia"/>
                      <w:color w:val="000000"/>
                      <w:sz w:val="22"/>
                      <w:szCs w:val="22"/>
                    </w:rPr>
                    <w:t>对附属单位补助支出</w:t>
                  </w:r>
                </w:p>
              </w:tc>
            </w:tr>
            <w:tr>
              <w:trPr>
                <w:trHeight w:val="569"/>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科目代码</w:t>
                  </w:r>
                </w:p>
              </w:tc>
              <w:tc>
                <w:tcPr>
                  <w:tcW w:w="2940" w:type="dxa"/>
                  <w:gridSpan w:val="3"/>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科目名称</w:t>
                  </w:r>
                </w:p>
              </w:tc>
              <w:tc>
                <w:tcPr>
                  <w:tcW w:w="1261" w:type="dxa"/>
                  <w:vMerge/>
                  <w:tcBorders>
                    <w:top w:val="single" w:sz="6" w:space="0" w:color="000000"/>
                    <w:left w:val="nil"/>
                    <w:bottom w:val="single" w:sz="6" w:space="0" w:color="000000"/>
                    <w:right w:val="single" w:sz="6" w:space="0" w:color="000000"/>
                    <w:tl2br w:val="nil"/>
                    <w:tr2bl w:val="nil"/>
                  </w:tcBorders>
                  <w:noWrap/>
                  <w:vAlign w:val="center"/>
                </w:tcPr>
                <w:p/>
              </w:tc>
              <w:tc>
                <w:tcPr>
                  <w:tcW w:w="1154" w:type="dxa"/>
                  <w:vMerge/>
                  <w:tcBorders>
                    <w:top w:val="nil"/>
                    <w:left w:val="nil"/>
                    <w:bottom w:val="single" w:sz="6" w:space="0" w:color="000000"/>
                    <w:right w:val="single" w:sz="6" w:space="0" w:color="000000"/>
                    <w:tl2br w:val="nil"/>
                    <w:tr2bl w:val="nil"/>
                  </w:tcBorders>
                  <w:noWrap/>
                  <w:vAlign w:val="center"/>
                </w:tcPr>
                <w:p/>
              </w:tc>
              <w:tc>
                <w:tcPr>
                  <w:tcW w:w="1260" w:type="dxa"/>
                  <w:vMerge/>
                  <w:tcBorders>
                    <w:top w:val="nil"/>
                    <w:left w:val="nil"/>
                    <w:bottom w:val="single" w:sz="6" w:space="0" w:color="000000"/>
                    <w:right w:val="single" w:sz="6" w:space="0" w:color="000000"/>
                    <w:tl2br w:val="nil"/>
                    <w:tr2bl w:val="nil"/>
                  </w:tcBorders>
                  <w:noWrap/>
                  <w:vAlign w:val="center"/>
                </w:tcPr>
                <w:p/>
              </w:tc>
              <w:tc>
                <w:tcPr>
                  <w:tcW w:w="1126" w:type="dxa"/>
                  <w:vMerge/>
                  <w:tcBorders>
                    <w:top w:val="nil"/>
                    <w:left w:val="nil"/>
                    <w:bottom w:val="single" w:sz="6" w:space="0" w:color="000000"/>
                    <w:right w:val="single" w:sz="6" w:space="0" w:color="000000"/>
                    <w:tl2br w:val="nil"/>
                    <w:tr2bl w:val="nil"/>
                  </w:tcBorders>
                  <w:noWrap/>
                  <w:vAlign w:val="center"/>
                </w:tcPr>
                <w:p/>
              </w:tc>
              <w:tc>
                <w:tcPr>
                  <w:tcW w:w="1500" w:type="dxa"/>
                  <w:vMerge/>
                  <w:tcBorders>
                    <w:top w:val="nil"/>
                    <w:left w:val="nil"/>
                    <w:bottom w:val="single" w:sz="6" w:space="0" w:color="000000"/>
                    <w:right w:val="single" w:sz="6" w:space="0" w:color="000000"/>
                    <w:tl2br w:val="nil"/>
                    <w:tr2bl w:val="nil"/>
                  </w:tcBorders>
                  <w:noWrap/>
                  <w:vAlign w:val="center"/>
                </w:tcPr>
                <w:p/>
              </w:tc>
              <w:tc>
                <w:tcPr>
                  <w:tcW w:w="1680" w:type="dxa"/>
                  <w:vMerge/>
                  <w:tcBorders>
                    <w:top w:val="single" w:sz="6" w:space="0" w:color="000000"/>
                    <w:left w:val="nil"/>
                    <w:bottom w:val="single" w:sz="6" w:space="0" w:color="000000"/>
                    <w:right w:val="single" w:sz="6" w:space="0" w:color="000000"/>
                    <w:tl2br w:val="nil"/>
                    <w:tr2bl w:val="nil"/>
                  </w:tcBorders>
                  <w:noWrap/>
                  <w:vAlign w:val="center"/>
                </w:tcPr>
                <w:p/>
              </w:tc>
            </w:tr>
            <w:tr>
              <w:trPr>
                <w:trHeight w:val="284"/>
              </w:trPr>
              <w:tc>
                <w:tcPr>
                  <w:tcW w:w="4197" w:type="dxa"/>
                  <w:gridSpan w:val="5"/>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栏次</w:t>
                  </w:r>
                </w:p>
              </w:tc>
              <w:tc>
                <w:tcPr>
                  <w:tcW w:w="1684"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135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c>
                <w:tcPr>
                  <w:tcW w:w="124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w:t>
                  </w:r>
                </w:p>
              </w:tc>
              <w:tc>
                <w:tcPr>
                  <w:tcW w:w="1259"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w:t>
                  </w:r>
                </w:p>
              </w:tc>
              <w:tc>
                <w:tcPr>
                  <w:tcW w:w="122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w:t>
                  </w:r>
                </w:p>
              </w:tc>
              <w:tc>
                <w:tcPr>
                  <w:tcW w:w="141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w:t>
                  </w:r>
                </w:p>
              </w:tc>
            </w:tr>
            <w:tr>
              <w:trPr>
                <w:trHeight w:val="284"/>
              </w:trPr>
              <w:tc>
                <w:tcPr>
                  <w:tcW w:w="4197" w:type="dxa"/>
                  <w:gridSpan w:val="5"/>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合计</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131.44</w:t>
                  </w:r>
                </w:p>
              </w:tc>
              <w:tc>
                <w:tcPr>
                  <w:tcW w:w="1355" w:type="dxa"/>
                  <w:tcBorders>
                    <w:top w:val="nil"/>
                    <w:left w:val="nil"/>
                    <w:bottom w:val="single" w:sz="6" w:space="0" w:color="000000"/>
                    <w:right w:val="single" w:sz="6" w:space="0" w:color="000000"/>
                    <w:tl2br w:val="nil"/>
                    <w:tr2bl w:val="nil"/>
                  </w:tcBorders>
                  <w:noWrap/>
                  <w:vAlign w:val="center"/>
                </w:tcPr>
                <w:p>
                  <w:pPr>
                    <w:pStyle w:val="50"/>
                    <w:jc w:val="right"/>
                    <w:rPr>
                      <w:rFonts w:ascii="宋体" w:cs="宋体" w:hAnsi="宋体" w:hint="eastAsia"/>
                      <w:sz w:val="22"/>
                      <w:szCs w:val="22"/>
                    </w:rPr>
                  </w:pPr>
                  <w:r>
                    <w:rPr>
                      <w:rFonts w:ascii="宋体" w:cs="宋体" w:hAnsi="宋体" w:hint="eastAsia"/>
                      <w:sz w:val="22"/>
                      <w:szCs w:val="22"/>
                    </w:rPr>
                    <w:t>131.44</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201</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一般公共服务支出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116.08</w:t>
                  </w:r>
                </w:p>
              </w:tc>
              <w:tc>
                <w:tcPr>
                  <w:tcW w:w="1355" w:type="dxa"/>
                  <w:tcBorders>
                    <w:top w:val="nil"/>
                    <w:left w:val="nil"/>
                    <w:bottom w:val="single" w:sz="6" w:space="0" w:color="000000"/>
                    <w:right w:val="single" w:sz="6" w:space="0" w:color="000000"/>
                    <w:tl2br w:val="nil"/>
                    <w:tr2bl w:val="nil"/>
                  </w:tcBorders>
                  <w:noWrap/>
                  <w:vAlign w:val="center"/>
                </w:tcPr>
                <w:p>
                  <w:pPr>
                    <w:pStyle w:val="51"/>
                    <w:jc w:val="right"/>
                    <w:rPr>
                      <w:rFonts w:ascii="宋体" w:cs="宋体" w:hAnsi="宋体" w:hint="eastAsia"/>
                      <w:sz w:val="22"/>
                      <w:szCs w:val="22"/>
                    </w:rPr>
                  </w:pPr>
                  <w:r>
                    <w:rPr>
                      <w:rFonts w:ascii="宋体" w:cs="宋体" w:hAnsi="宋体" w:hint="eastAsia"/>
                      <w:sz w:val="22"/>
                      <w:szCs w:val="22"/>
                    </w:rPr>
                    <w:t>116.08</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4"/>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20109</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海关事务</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116.08</w:t>
                  </w:r>
                </w:p>
              </w:tc>
              <w:tc>
                <w:tcPr>
                  <w:tcW w:w="1355" w:type="dxa"/>
                  <w:tcBorders>
                    <w:top w:val="nil"/>
                    <w:left w:val="nil"/>
                    <w:bottom w:val="single" w:sz="6" w:space="0" w:color="000000"/>
                    <w:right w:val="single" w:sz="6" w:space="0" w:color="000000"/>
                    <w:tl2br w:val="nil"/>
                    <w:tr2bl w:val="nil"/>
                  </w:tcBorders>
                  <w:noWrap/>
                  <w:vAlign w:val="center"/>
                </w:tcPr>
                <w:p>
                  <w:pPr>
                    <w:pStyle w:val="52"/>
                    <w:jc w:val="right"/>
                    <w:rPr>
                      <w:rFonts w:ascii="宋体" w:cs="宋体" w:hAnsi="宋体" w:hint="eastAsia"/>
                      <w:sz w:val="22"/>
                      <w:szCs w:val="22"/>
                    </w:rPr>
                  </w:pPr>
                  <w:r>
                    <w:rPr>
                      <w:rFonts w:ascii="宋体" w:cs="宋体" w:hAnsi="宋体" w:hint="eastAsia"/>
                      <w:sz w:val="22"/>
                      <w:szCs w:val="22"/>
                    </w:rPr>
                    <w:t>116.08</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4"/>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2010950</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事业运行</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116.08</w:t>
                  </w:r>
                </w:p>
              </w:tc>
              <w:tc>
                <w:tcPr>
                  <w:tcW w:w="1355" w:type="dxa"/>
                  <w:tcBorders>
                    <w:top w:val="nil"/>
                    <w:left w:val="nil"/>
                    <w:bottom w:val="single" w:sz="6" w:space="0" w:color="000000"/>
                    <w:right w:val="single" w:sz="6" w:space="0" w:color="000000"/>
                    <w:tl2br w:val="nil"/>
                    <w:tr2bl w:val="nil"/>
                  </w:tcBorders>
                  <w:noWrap/>
                  <w:vAlign w:val="center"/>
                </w:tcPr>
                <w:p>
                  <w:pPr>
                    <w:pStyle w:val="53"/>
                    <w:jc w:val="right"/>
                    <w:rPr>
                      <w:rFonts w:ascii="宋体" w:cs="宋体" w:hAnsi="宋体" w:hint="eastAsia"/>
                      <w:sz w:val="22"/>
                      <w:szCs w:val="22"/>
                    </w:rPr>
                  </w:pPr>
                  <w:r>
                    <w:rPr>
                      <w:rFonts w:ascii="宋体" w:cs="宋体" w:hAnsi="宋体" w:hint="eastAsia"/>
                      <w:sz w:val="22"/>
                      <w:szCs w:val="22"/>
                    </w:rPr>
                    <w:t>116.08</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社会保障和就业支出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6.8</w:t>
                  </w:r>
                </w:p>
              </w:tc>
              <w:tc>
                <w:tcPr>
                  <w:tcW w:w="1355" w:type="dxa"/>
                  <w:tcBorders>
                    <w:top w:val="nil"/>
                    <w:left w:val="nil"/>
                    <w:bottom w:val="single" w:sz="6" w:space="0" w:color="000000"/>
                    <w:right w:val="single" w:sz="6" w:space="0" w:color="000000"/>
                    <w:tl2br w:val="nil"/>
                    <w:tr2bl w:val="nil"/>
                  </w:tcBorders>
                  <w:noWrap/>
                  <w:vAlign w:val="center"/>
                </w:tcPr>
                <w:p>
                  <w:pPr>
                    <w:pStyle w:val="54"/>
                    <w:jc w:val="right"/>
                    <w:rPr>
                      <w:rFonts w:ascii="宋体" w:cs="宋体" w:hAnsi="宋体" w:hint="eastAsia"/>
                      <w:sz w:val="22"/>
                      <w:szCs w:val="22"/>
                    </w:rPr>
                  </w:pPr>
                  <w:r>
                    <w:rPr>
                      <w:rFonts w:ascii="宋体" w:cs="宋体" w:hAnsi="宋体" w:hint="eastAsia"/>
                      <w:sz w:val="22"/>
                      <w:szCs w:val="22"/>
                    </w:rPr>
                    <w:t>6.8</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20805</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行政事业单位养老支出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6.8</w:t>
                  </w:r>
                </w:p>
              </w:tc>
              <w:tc>
                <w:tcPr>
                  <w:tcW w:w="1355" w:type="dxa"/>
                  <w:tcBorders>
                    <w:top w:val="nil"/>
                    <w:left w:val="nil"/>
                    <w:bottom w:val="single" w:sz="6" w:space="0" w:color="000000"/>
                    <w:right w:val="single" w:sz="6" w:space="0" w:color="000000"/>
                    <w:tl2br w:val="nil"/>
                    <w:tr2bl w:val="nil"/>
                  </w:tcBorders>
                  <w:noWrap/>
                  <w:vAlign w:val="center"/>
                </w:tcPr>
                <w:p>
                  <w:pPr>
                    <w:pStyle w:val="55"/>
                    <w:jc w:val="right"/>
                    <w:rPr>
                      <w:rFonts w:ascii="宋体" w:cs="宋体" w:hAnsi="宋体" w:hint="eastAsia"/>
                      <w:sz w:val="22"/>
                      <w:szCs w:val="22"/>
                    </w:rPr>
                  </w:pPr>
                  <w:r>
                    <w:rPr>
                      <w:rFonts w:ascii="宋体" w:cs="宋体" w:hAnsi="宋体" w:hint="eastAsia"/>
                      <w:sz w:val="22"/>
                      <w:szCs w:val="22"/>
                    </w:rPr>
                    <w:t>6.</w:t>
                  </w:r>
                  <w:r>
                    <w:rPr>
                      <w:rFonts w:ascii="宋体" w:cs="宋体" w:hAnsi="宋体"/>
                      <w:sz w:val="22"/>
                      <w:szCs w:val="22"/>
                    </w:rPr>
                    <w:t>8</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2080505</w:t>
                  </w:r>
                </w:p>
              </w:tc>
              <w:tc>
                <w:tcPr>
                  <w:tcW w:w="2940" w:type="dxa"/>
                  <w:gridSpan w:val="3"/>
                  <w:tcBorders>
                    <w:top w:val="nil"/>
                    <w:left w:val="nil"/>
                    <w:bottom w:val="single" w:sz="6" w:space="0" w:color="000000"/>
                    <w:right w:val="single" w:sz="6" w:space="0" w:color="000000"/>
                    <w:tl2br w:val="nil"/>
                    <w:tr2bl w:val="nil"/>
                  </w:tcBorders>
                  <w:noWrap/>
                  <w:vAlign w:val="center"/>
                </w:tcPr>
                <w:p>
                  <w:pPr>
                    <w:ind w:firstLineChars="50" w:firstLine="110"/>
                    <w:rPr>
                      <w:rFonts w:ascii="宋体" w:cs="宋体" w:hAnsi="宋体" w:hint="eastAsia"/>
                      <w:sz w:val="22"/>
                      <w:szCs w:val="22"/>
                    </w:rPr>
                  </w:pPr>
                  <w:r>
                    <w:rPr>
                      <w:rFonts w:ascii="宋体" w:cs="宋体" w:hAnsi="宋体" w:hint="eastAsia"/>
                      <w:sz w:val="22"/>
                      <w:szCs w:val="22"/>
                    </w:rPr>
                    <w:t>机关事业单位基本养老保险缴费支出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4.56</w:t>
                  </w:r>
                </w:p>
              </w:tc>
              <w:tc>
                <w:tcPr>
                  <w:tcW w:w="1355" w:type="dxa"/>
                  <w:tcBorders>
                    <w:top w:val="nil"/>
                    <w:left w:val="nil"/>
                    <w:bottom w:val="single" w:sz="6" w:space="0" w:color="000000"/>
                    <w:right w:val="single" w:sz="6" w:space="0" w:color="000000"/>
                    <w:tl2br w:val="nil"/>
                    <w:tr2bl w:val="nil"/>
                  </w:tcBorders>
                  <w:noWrap/>
                  <w:vAlign w:val="center"/>
                </w:tcPr>
                <w:p>
                  <w:pPr>
                    <w:pStyle w:val="56"/>
                    <w:jc w:val="right"/>
                    <w:rPr>
                      <w:rFonts w:ascii="宋体" w:cs="宋体" w:hAnsi="宋体" w:hint="eastAsia"/>
                      <w:sz w:val="22"/>
                      <w:szCs w:val="22"/>
                    </w:rPr>
                  </w:pPr>
                  <w:r>
                    <w:rPr>
                      <w:rFonts w:ascii="宋体" w:cs="宋体" w:hAnsi="宋体" w:hint="eastAsia"/>
                      <w:sz w:val="22"/>
                      <w:szCs w:val="22"/>
                    </w:rPr>
                    <w:t>4.56</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2080506</w:t>
                  </w:r>
                </w:p>
              </w:tc>
              <w:tc>
                <w:tcPr>
                  <w:tcW w:w="2940" w:type="dxa"/>
                  <w:gridSpan w:val="3"/>
                  <w:tcBorders>
                    <w:top w:val="nil"/>
                    <w:left w:val="nil"/>
                    <w:bottom w:val="single" w:sz="6" w:space="0" w:color="000000"/>
                    <w:right w:val="single" w:sz="6" w:space="0" w:color="000000"/>
                    <w:tl2br w:val="nil"/>
                    <w:tr2bl w:val="nil"/>
                  </w:tcBorders>
                  <w:noWrap/>
                  <w:vAlign w:val="center"/>
                </w:tcPr>
                <w:p>
                  <w:pPr>
                    <w:ind w:firstLineChars="50" w:firstLine="110"/>
                    <w:rPr>
                      <w:rFonts w:ascii="宋体" w:cs="宋体" w:hAnsi="宋体" w:hint="eastAsia"/>
                      <w:sz w:val="22"/>
                      <w:szCs w:val="22"/>
                    </w:rPr>
                  </w:pPr>
                  <w:r>
                    <w:rPr>
                      <w:rFonts w:ascii="宋体" w:cs="宋体" w:hAnsi="宋体" w:hint="eastAsia"/>
                      <w:sz w:val="22"/>
                      <w:szCs w:val="22"/>
                    </w:rPr>
                    <w:t>机关事业单位职业年金缴费支出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2.25</w:t>
                  </w:r>
                </w:p>
              </w:tc>
              <w:tc>
                <w:tcPr>
                  <w:tcW w:w="1355" w:type="dxa"/>
                  <w:tcBorders>
                    <w:top w:val="nil"/>
                    <w:left w:val="nil"/>
                    <w:bottom w:val="single" w:sz="6" w:space="0" w:color="000000"/>
                    <w:right w:val="single" w:sz="6" w:space="0" w:color="000000"/>
                    <w:tl2br w:val="nil"/>
                    <w:tr2bl w:val="nil"/>
                  </w:tcBorders>
                  <w:noWrap/>
                  <w:vAlign w:val="center"/>
                </w:tcPr>
                <w:p>
                  <w:pPr>
                    <w:pStyle w:val="57"/>
                    <w:jc w:val="right"/>
                    <w:rPr>
                      <w:rFonts w:ascii="宋体" w:cs="宋体" w:hAnsi="宋体" w:hint="eastAsia"/>
                      <w:sz w:val="22"/>
                      <w:szCs w:val="22"/>
                    </w:rPr>
                  </w:pPr>
                  <w:r>
                    <w:rPr>
                      <w:rFonts w:ascii="宋体" w:cs="宋体" w:hAnsi="宋体" w:hint="eastAsia"/>
                      <w:sz w:val="22"/>
                      <w:szCs w:val="22"/>
                    </w:rPr>
                    <w:t>2.25</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r>
                    <w:rPr>
                      <w:rFonts w:ascii="宋体" w:cs="宋体" w:hAnsi="宋体"/>
                      <w:sz w:val="24"/>
                    </w:rPr>
                    <w:t xml:space="preserve">            </w:t>
                  </w: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210</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卫生健康支出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3.31</w:t>
                  </w:r>
                </w:p>
              </w:tc>
              <w:tc>
                <w:tcPr>
                  <w:tcW w:w="1355" w:type="dxa"/>
                  <w:tcBorders>
                    <w:top w:val="nil"/>
                    <w:left w:val="nil"/>
                    <w:bottom w:val="single" w:sz="6" w:space="0" w:color="000000"/>
                    <w:right w:val="single" w:sz="6" w:space="0" w:color="000000"/>
                    <w:tl2br w:val="nil"/>
                    <w:tr2bl w:val="nil"/>
                  </w:tcBorders>
                  <w:noWrap/>
                  <w:vAlign w:val="center"/>
                </w:tcPr>
                <w:p>
                  <w:pPr>
                    <w:pStyle w:val="58"/>
                    <w:jc w:val="right"/>
                    <w:rPr>
                      <w:rFonts w:ascii="宋体" w:cs="宋体" w:hAnsi="宋体" w:hint="eastAsia"/>
                      <w:sz w:val="22"/>
                      <w:szCs w:val="22"/>
                    </w:rPr>
                  </w:pPr>
                  <w:r>
                    <w:rPr>
                      <w:rFonts w:ascii="宋体" w:cs="宋体" w:hAnsi="宋体" w:hint="eastAsia"/>
                      <w:sz w:val="22"/>
                      <w:szCs w:val="22"/>
                    </w:rPr>
                    <w:t>3.31</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21011</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行政事业单位医疗</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3.31</w:t>
                  </w:r>
                </w:p>
              </w:tc>
              <w:tc>
                <w:tcPr>
                  <w:tcW w:w="1355" w:type="dxa"/>
                  <w:tcBorders>
                    <w:top w:val="nil"/>
                    <w:left w:val="nil"/>
                    <w:bottom w:val="single" w:sz="6" w:space="0" w:color="000000"/>
                    <w:right w:val="single" w:sz="6" w:space="0" w:color="000000"/>
                    <w:tl2br w:val="nil"/>
                    <w:tr2bl w:val="nil"/>
                  </w:tcBorders>
                  <w:noWrap/>
                  <w:vAlign w:val="center"/>
                </w:tcPr>
                <w:p>
                  <w:pPr>
                    <w:pStyle w:val="59"/>
                    <w:jc w:val="right"/>
                    <w:rPr>
                      <w:rFonts w:ascii="宋体" w:cs="宋体" w:hAnsi="宋体" w:hint="eastAsia"/>
                      <w:sz w:val="22"/>
                      <w:szCs w:val="22"/>
                    </w:rPr>
                  </w:pPr>
                  <w:r>
                    <w:rPr>
                      <w:rFonts w:ascii="宋体" w:cs="宋体" w:hAnsi="宋体" w:hint="eastAsia"/>
                      <w:sz w:val="22"/>
                      <w:szCs w:val="22"/>
                    </w:rPr>
                    <w:t>3.31</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2101102</w:t>
                  </w:r>
                </w:p>
              </w:tc>
              <w:tc>
                <w:tcPr>
                  <w:tcW w:w="2940" w:type="dxa"/>
                  <w:gridSpan w:val="3"/>
                  <w:tcBorders>
                    <w:top w:val="nil"/>
                    <w:left w:val="nil"/>
                    <w:bottom w:val="single" w:sz="6" w:space="0" w:color="000000"/>
                    <w:right w:val="single" w:sz="6" w:space="0" w:color="000000"/>
                    <w:tl2br w:val="nil"/>
                    <w:tr2bl w:val="nil"/>
                  </w:tcBorders>
                  <w:noWrap/>
                  <w:vAlign w:val="center"/>
                </w:tcPr>
                <w:p>
                  <w:pPr>
                    <w:ind w:firstLineChars="100" w:firstLine="220"/>
                    <w:rPr>
                      <w:rFonts w:ascii="宋体" w:cs="宋体" w:hAnsi="宋体" w:hint="eastAsia"/>
                      <w:sz w:val="22"/>
                      <w:szCs w:val="22"/>
                    </w:rPr>
                  </w:pPr>
                  <w:r>
                    <w:rPr>
                      <w:rFonts w:ascii="宋体" w:cs="宋体" w:hAnsi="宋体" w:hint="eastAsia"/>
                      <w:sz w:val="22"/>
                      <w:szCs w:val="22"/>
                    </w:rPr>
                    <w:t>事业单位医疗</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3.31</w:t>
                  </w:r>
                </w:p>
              </w:tc>
              <w:tc>
                <w:tcPr>
                  <w:tcW w:w="1355" w:type="dxa"/>
                  <w:tcBorders>
                    <w:top w:val="nil"/>
                    <w:left w:val="nil"/>
                    <w:bottom w:val="single" w:sz="6" w:space="0" w:color="000000"/>
                    <w:right w:val="single" w:sz="6" w:space="0" w:color="000000"/>
                    <w:tl2br w:val="nil"/>
                    <w:tr2bl w:val="nil"/>
                  </w:tcBorders>
                  <w:noWrap/>
                  <w:vAlign w:val="center"/>
                </w:tcPr>
                <w:p>
                  <w:pPr>
                    <w:pStyle w:val="60"/>
                    <w:jc w:val="right"/>
                    <w:rPr>
                      <w:rFonts w:ascii="宋体" w:cs="宋体" w:hAnsi="宋体" w:hint="eastAsia"/>
                      <w:sz w:val="22"/>
                      <w:szCs w:val="22"/>
                    </w:rPr>
                  </w:pPr>
                  <w:r>
                    <w:rPr>
                      <w:rFonts w:ascii="宋体" w:cs="宋体" w:hAnsi="宋体" w:hint="eastAsia"/>
                      <w:sz w:val="22"/>
                      <w:szCs w:val="22"/>
                    </w:rPr>
                    <w:t>3.31</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221</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住房保障支出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5.25</w:t>
                  </w:r>
                </w:p>
              </w:tc>
              <w:tc>
                <w:tcPr>
                  <w:tcW w:w="1355" w:type="dxa"/>
                  <w:tcBorders>
                    <w:top w:val="nil"/>
                    <w:left w:val="nil"/>
                    <w:bottom w:val="single" w:sz="6" w:space="0" w:color="000000"/>
                    <w:right w:val="single" w:sz="6" w:space="0" w:color="000000"/>
                    <w:tl2br w:val="nil"/>
                    <w:tr2bl w:val="nil"/>
                  </w:tcBorders>
                  <w:noWrap/>
                  <w:vAlign w:val="center"/>
                </w:tcPr>
                <w:p>
                  <w:pPr>
                    <w:pStyle w:val="61"/>
                    <w:jc w:val="right"/>
                    <w:rPr>
                      <w:rFonts w:ascii="宋体" w:cs="宋体" w:hAnsi="宋体" w:hint="eastAsia"/>
                      <w:sz w:val="22"/>
                      <w:szCs w:val="22"/>
                    </w:rPr>
                  </w:pPr>
                  <w:r>
                    <w:rPr>
                      <w:rFonts w:ascii="宋体" w:cs="宋体" w:hAnsi="宋体" w:hint="eastAsia"/>
                      <w:sz w:val="22"/>
                      <w:szCs w:val="22"/>
                    </w:rPr>
                    <w:t>5.25</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22102</w:t>
                  </w:r>
                </w:p>
              </w:tc>
              <w:tc>
                <w:tcPr>
                  <w:tcW w:w="2940" w:type="dxa"/>
                  <w:gridSpan w:val="3"/>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住房改革支出</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5.25</w:t>
                  </w:r>
                </w:p>
              </w:tc>
              <w:tc>
                <w:tcPr>
                  <w:tcW w:w="1355" w:type="dxa"/>
                  <w:tcBorders>
                    <w:top w:val="nil"/>
                    <w:left w:val="nil"/>
                    <w:bottom w:val="single" w:sz="6" w:space="0" w:color="000000"/>
                    <w:right w:val="single" w:sz="6" w:space="0" w:color="000000"/>
                    <w:tl2br w:val="nil"/>
                    <w:tr2bl w:val="nil"/>
                  </w:tcBorders>
                  <w:noWrap/>
                  <w:vAlign w:val="center"/>
                </w:tcPr>
                <w:p>
                  <w:pPr>
                    <w:pStyle w:val="62"/>
                    <w:jc w:val="right"/>
                    <w:rPr>
                      <w:rFonts w:ascii="宋体" w:cs="宋体" w:hAnsi="宋体" w:hint="eastAsia"/>
                      <w:sz w:val="22"/>
                      <w:szCs w:val="22"/>
                    </w:rPr>
                  </w:pPr>
                  <w:r>
                    <w:rPr>
                      <w:rFonts w:ascii="宋体" w:cs="宋体" w:hAnsi="宋体" w:hint="eastAsia"/>
                      <w:sz w:val="22"/>
                      <w:szCs w:val="22"/>
                    </w:rPr>
                    <w:t>5.25</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2210201</w:t>
                  </w:r>
                </w:p>
              </w:tc>
              <w:tc>
                <w:tcPr>
                  <w:tcW w:w="2940" w:type="dxa"/>
                  <w:gridSpan w:val="3"/>
                  <w:tcBorders>
                    <w:top w:val="nil"/>
                    <w:left w:val="nil"/>
                    <w:bottom w:val="single" w:sz="6" w:space="0" w:color="000000"/>
                    <w:right w:val="single" w:sz="6" w:space="0" w:color="000000"/>
                    <w:tl2br w:val="nil"/>
                    <w:tr2bl w:val="nil"/>
                  </w:tcBorders>
                  <w:noWrap/>
                  <w:vAlign w:val="center"/>
                </w:tcPr>
                <w:p>
                  <w:pPr>
                    <w:ind w:firstLineChars="100" w:firstLine="220"/>
                    <w:rPr>
                      <w:rFonts w:ascii="宋体" w:cs="宋体" w:hAnsi="宋体" w:hint="eastAsia"/>
                      <w:sz w:val="22"/>
                      <w:szCs w:val="22"/>
                    </w:rPr>
                  </w:pPr>
                  <w:r>
                    <w:rPr>
                      <w:rFonts w:ascii="宋体" w:cs="宋体" w:hAnsi="宋体" w:hint="eastAsia"/>
                      <w:sz w:val="22"/>
                      <w:szCs w:val="22"/>
                    </w:rPr>
                    <w:t>住房公积金</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5.25</w:t>
                  </w:r>
                </w:p>
              </w:tc>
              <w:tc>
                <w:tcPr>
                  <w:tcW w:w="1355" w:type="dxa"/>
                  <w:tcBorders>
                    <w:top w:val="nil"/>
                    <w:left w:val="nil"/>
                    <w:bottom w:val="single" w:sz="6" w:space="0" w:color="000000"/>
                    <w:right w:val="single" w:sz="6" w:space="0" w:color="000000"/>
                    <w:tl2br w:val="nil"/>
                    <w:tr2bl w:val="nil"/>
                  </w:tcBorders>
                  <w:noWrap/>
                  <w:vAlign w:val="center"/>
                </w:tcPr>
                <w:p>
                  <w:pPr>
                    <w:pStyle w:val="63"/>
                    <w:jc w:val="right"/>
                    <w:rPr>
                      <w:rFonts w:ascii="宋体" w:cs="宋体" w:hAnsi="宋体" w:hint="eastAsia"/>
                      <w:sz w:val="22"/>
                      <w:szCs w:val="22"/>
                    </w:rPr>
                  </w:pPr>
                  <w:r>
                    <w:rPr>
                      <w:rFonts w:ascii="宋体" w:cs="宋体" w:hAnsi="宋体" w:hint="eastAsia"/>
                      <w:sz w:val="22"/>
                      <w:szCs w:val="22"/>
                    </w:rPr>
                    <w:t>5.25</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3"/>
              </w:trPr>
              <w:tc>
                <w:tcPr>
                  <w:tcW w:w="1257"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2210203</w:t>
                  </w:r>
                </w:p>
              </w:tc>
              <w:tc>
                <w:tcPr>
                  <w:tcW w:w="2940" w:type="dxa"/>
                  <w:gridSpan w:val="3"/>
                  <w:tcBorders>
                    <w:top w:val="nil"/>
                    <w:left w:val="nil"/>
                    <w:bottom w:val="single" w:sz="6" w:space="0" w:color="000000"/>
                    <w:right w:val="single" w:sz="6" w:space="0" w:color="000000"/>
                    <w:tl2br w:val="nil"/>
                    <w:tr2bl w:val="nil"/>
                  </w:tcBorders>
                  <w:noWrap/>
                  <w:vAlign w:val="center"/>
                </w:tcPr>
                <w:p>
                  <w:pPr>
                    <w:ind w:firstLineChars="100" w:firstLine="220"/>
                    <w:rPr>
                      <w:rFonts w:ascii="宋体" w:cs="宋体" w:hAnsi="宋体" w:hint="eastAsia"/>
                      <w:sz w:val="22"/>
                      <w:szCs w:val="22"/>
                    </w:rPr>
                  </w:pPr>
                  <w:r>
                    <w:rPr>
                      <w:rFonts w:ascii="宋体" w:cs="宋体" w:hAnsi="宋体" w:hint="eastAsia"/>
                      <w:sz w:val="22"/>
                      <w:szCs w:val="22"/>
                    </w:rPr>
                    <w:t>购房补贴</w:t>
                  </w:r>
                </w:p>
              </w:tc>
              <w:tc>
                <w:tcPr>
                  <w:tcW w:w="1684"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r>
                    <w:rPr>
                      <w:rFonts w:ascii="宋体" w:cs="宋体" w:hAnsi="宋体" w:hint="eastAsia"/>
                      <w:sz w:val="22"/>
                      <w:szCs w:val="22"/>
                    </w:rPr>
                    <w:t>0</w:t>
                  </w:r>
                </w:p>
              </w:tc>
              <w:tc>
                <w:tcPr>
                  <w:tcW w:w="1355" w:type="dxa"/>
                  <w:tcBorders>
                    <w:top w:val="nil"/>
                    <w:left w:val="nil"/>
                    <w:bottom w:val="single" w:sz="6" w:space="0" w:color="000000"/>
                    <w:right w:val="single" w:sz="6" w:space="0" w:color="000000"/>
                    <w:tl2br w:val="nil"/>
                    <w:tr2bl w:val="nil"/>
                  </w:tcBorders>
                  <w:noWrap/>
                  <w:vAlign w:val="center"/>
                </w:tcPr>
                <w:p>
                  <w:pPr>
                    <w:pStyle w:val="64"/>
                    <w:jc w:val="right"/>
                    <w:rPr>
                      <w:rFonts w:ascii="宋体" w:cs="宋体" w:hAnsi="宋体" w:hint="eastAsia"/>
                      <w:sz w:val="22"/>
                      <w:szCs w:val="22"/>
                    </w:rPr>
                  </w:pPr>
                  <w:r>
                    <w:rPr>
                      <w:rFonts w:ascii="宋体" w:cs="宋体" w:hAnsi="宋体" w:hint="eastAsia"/>
                      <w:sz w:val="22"/>
                      <w:szCs w:val="22"/>
                    </w:rPr>
                    <w:t>0</w:t>
                  </w:r>
                </w:p>
              </w:tc>
              <w:tc>
                <w:tcPr>
                  <w:tcW w:w="124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25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22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c>
                <w:tcPr>
                  <w:tcW w:w="141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4"/>
                    </w:rPr>
                  </w:pPr>
                </w:p>
              </w:tc>
            </w:tr>
            <w:tr>
              <w:trPr>
                <w:trHeight w:val="284"/>
              </w:trPr>
              <w:tc>
                <w:tcPr>
                  <w:tcW w:w="12373" w:type="dxa"/>
                  <w:gridSpan w:val="11"/>
                  <w:tcBorders>
                    <w:top w:val="nil"/>
                    <w:left w:val="nil"/>
                    <w:bottom w:val="nil"/>
                    <w:right w:val="nil"/>
                    <w:tl2br w:val="nil"/>
                    <w:tr2bl w:val="nil"/>
                  </w:tcBorders>
                  <w:noWrap/>
                  <w:vAlign w:val="center"/>
                </w:tcPr>
                <w:p>
                  <w:pPr>
                    <w:rPr>
                      <w:rFonts w:ascii="宋体" w:cs="宋体" w:hAnsi="宋体" w:hint="eastAsia"/>
                      <w:color w:val="000000"/>
                      <w:sz w:val="24"/>
                    </w:rPr>
                  </w:pPr>
                  <w:r>
                    <w:rPr>
                      <w:rFonts w:ascii="宋体" w:cs="宋体" w:hAnsi="宋体" w:hint="eastAsia"/>
                      <w:color w:val="000000"/>
                      <w:sz w:val="24"/>
                    </w:rPr>
                    <w:t>注：本表反映部门本年度各项支出情况。</w:t>
                  </w:r>
                </w:p>
              </w:tc>
            </w:tr>
          </w:tbl>
          <w:p>
            <w:pPr>
              <w:rPr>
                <w:rFonts w:ascii="Times New Roman" w:eastAsia="宋体" w:cs="Times New Roman" w:hAnsi="Times New Roman"/>
                <w:color w:val="000000"/>
                <w:sz w:val="44"/>
              </w:rPr>
            </w:pPr>
          </w:p>
          <w:tbl>
            <w:tblPr>
              <w:jc w:val="left"/>
              <w:tblInd w:w="0" w:type="dxa"/>
              <w:tblW w:w="13241"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01"/>
              <w:gridCol w:w="675"/>
              <w:gridCol w:w="825"/>
              <w:gridCol w:w="3420"/>
              <w:gridCol w:w="765"/>
              <w:gridCol w:w="720"/>
              <w:gridCol w:w="1098"/>
              <w:gridCol w:w="1241"/>
              <w:gridCol w:w="1207"/>
            </w:tblGrid>
            <w:tr>
              <w:trPr>
                <w:trHeight w:val="539"/>
              </w:trPr>
              <w:tc>
                <w:tcPr>
                  <w:tcW w:w="13252" w:type="dxa"/>
                  <w:gridSpan w:val="9"/>
                  <w:tcBorders>
                    <w:top w:val="nil"/>
                    <w:left w:val="nil"/>
                    <w:bottom w:val="nil"/>
                    <w:right w:val="nil"/>
                    <w:tl2br w:val="nil"/>
                    <w:tr2bl w:val="nil"/>
                  </w:tcBorders>
                  <w:noWrap/>
                  <w:vAlign w:val="center"/>
                </w:tcPr>
                <w:p>
                  <w:pPr>
                    <w:rPr>
                      <w:rFonts w:ascii="Times New Roman" w:eastAsia="宋体" w:cs="Times New Roman" w:hAnsi="Times New Roman"/>
                      <w:b/>
                      <w:bCs/>
                      <w:color w:val="000000"/>
                      <w:sz w:val="44"/>
                    </w:rPr>
                  </w:pPr>
                </w:p>
                <w:p>
                  <w:pPr>
                    <w:jc w:val="center"/>
                    <w:rPr>
                      <w:rFonts w:ascii="Times New Roman" w:eastAsia="宋体" w:cs="Times New Roman" w:hAnsi="Times New Roman"/>
                      <w:b/>
                      <w:bCs/>
                      <w:color w:val="000000"/>
                      <w:sz w:val="44"/>
                    </w:rPr>
                  </w:pPr>
                  <w:r>
                    <w:rPr>
                      <w:rFonts w:ascii="Times New Roman" w:eastAsia="宋体" w:cs="Times New Roman" w:hAnsi="Times New Roman"/>
                      <w:b/>
                      <w:bCs/>
                      <w:color w:val="000000"/>
                      <w:sz w:val="44"/>
                    </w:rPr>
                    <w:t>财政拨款收入支出决算总表</w:t>
                  </w:r>
                </w:p>
              </w:tc>
            </w:tr>
            <w:tr>
              <w:trPr>
                <w:trHeight w:val="284"/>
              </w:trPr>
              <w:tc>
                <w:tcPr>
                  <w:tcW w:w="3976"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82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3420"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76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720"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098"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241"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207" w:type="dxa"/>
                  <w:tcBorders>
                    <w:top w:val="nil"/>
                    <w:left w:val="nil"/>
                    <w:bottom w:val="nil"/>
                    <w:right w:val="nil"/>
                    <w:tl2br w:val="nil"/>
                    <w:tr2bl w:val="nil"/>
                  </w:tcBorders>
                  <w:noWrap/>
                  <w:vAlign w:val="center"/>
                </w:tcPr>
                <w:p>
                  <w:pPr>
                    <w:ind w:right="-105"/>
                    <w:rPr>
                      <w:rFonts w:ascii="Times New Roman" w:eastAsia="宋体" w:cs="Times New Roman" w:hAnsi="Times New Roman"/>
                      <w:sz w:val="24"/>
                    </w:rPr>
                  </w:pPr>
                  <w:r>
                    <w:rPr>
                      <w:rFonts w:ascii="Times New Roman" w:eastAsia="宋体" w:cs="Times New Roman" w:hAnsi="Times New Roman"/>
                      <w:sz w:val="24"/>
                    </w:rPr>
                    <w:t>公开04表</w:t>
                  </w:r>
                </w:p>
              </w:tc>
            </w:tr>
            <w:tr>
              <w:trPr>
                <w:trHeight w:val="284"/>
              </w:trPr>
              <w:tc>
                <w:tcPr>
                  <w:tcW w:w="4801" w:type="dxa"/>
                  <w:gridSpan w:val="3"/>
                  <w:tcBorders>
                    <w:top w:val="nil"/>
                    <w:left w:val="nil"/>
                    <w:bottom w:val="single" w:sz="6" w:space="0" w:color="000000"/>
                    <w:right w:val="nil"/>
                    <w:tl2br w:val="nil"/>
                    <w:tr2bl w:val="nil"/>
                  </w:tcBorders>
                  <w:noWrap/>
                  <w:vAlign w:val="center"/>
                </w:tcPr>
                <w:p>
                  <w:pPr>
                    <w:rPr>
                      <w:rFonts w:ascii="Times New Roman" w:eastAsia="宋体" w:cs="Times New Roman" w:hAnsi="Times New Roman"/>
                      <w:color w:val="000000"/>
                      <w:sz w:val="24"/>
                    </w:rPr>
                  </w:pPr>
                  <w:r>
                    <w:rPr>
                      <w:rFonts w:ascii="Times New Roman" w:eastAsia="宋体" w:cs="Times New Roman" w:hAnsi="Times New Roman"/>
                      <w:color w:val="000000"/>
                      <w:sz w:val="24"/>
                    </w:rPr>
                    <w:t>部门：中国电子口岸数据中心太原分中心</w:t>
                  </w:r>
                </w:p>
              </w:tc>
              <w:tc>
                <w:tcPr>
                  <w:tcW w:w="3420"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76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720"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098"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241"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207" w:type="dxa"/>
                  <w:tcBorders>
                    <w:top w:val="nil"/>
                    <w:left w:val="nil"/>
                    <w:bottom w:val="nil"/>
                    <w:right w:val="nil"/>
                    <w:tl2br w:val="nil"/>
                    <w:tr2bl w:val="nil"/>
                  </w:tcBorders>
                  <w:noWrap/>
                  <w:vAlign w:val="center"/>
                </w:tcPr>
                <w:p>
                  <w:pPr>
                    <w:rPr>
                      <w:rFonts w:ascii="Times New Roman" w:eastAsia="宋体" w:cs="Times New Roman" w:hAnsi="Times New Roman"/>
                      <w:szCs w:val="21"/>
                    </w:rPr>
                  </w:pPr>
                  <w:r>
                    <w:rPr>
                      <w:rFonts w:ascii="Times New Roman" w:eastAsia="宋体" w:cs="Times New Roman" w:hAnsi="Times New Roman"/>
                      <w:szCs w:val="21"/>
                    </w:rPr>
                    <w:t>单位：万元</w:t>
                  </w:r>
                </w:p>
              </w:tc>
            </w:tr>
            <w:tr>
              <w:trPr>
                <w:trHeight w:val="284"/>
              </w:trPr>
              <w:tc>
                <w:tcPr>
                  <w:tcW w:w="480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收入</w:t>
                  </w:r>
                </w:p>
              </w:tc>
              <w:tc>
                <w:tcPr>
                  <w:tcW w:w="8451"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支出</w:t>
                  </w:r>
                </w:p>
              </w:tc>
            </w:tr>
            <w:tr>
              <w:trPr>
                <w:trHeight w:val="1169"/>
              </w:trPr>
              <w:tc>
                <w:tcPr>
                  <w:tcW w:w="3301"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项目</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行次</w:t>
                  </w:r>
                </w:p>
              </w:tc>
              <w:tc>
                <w:tcPr>
                  <w:tcW w:w="82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金额</w:t>
                  </w:r>
                </w:p>
              </w:tc>
              <w:tc>
                <w:tcPr>
                  <w:tcW w:w="342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项目</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行次</w:t>
                  </w:r>
                </w:p>
              </w:tc>
              <w:tc>
                <w:tcPr>
                  <w:tcW w:w="72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合计</w:t>
                  </w:r>
                </w:p>
              </w:tc>
              <w:tc>
                <w:tcPr>
                  <w:tcW w:w="1098"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一般公共预算财政拨款</w:t>
                  </w:r>
                </w:p>
              </w:tc>
              <w:tc>
                <w:tcPr>
                  <w:tcW w:w="124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政府性基金预算财政拨款</w:t>
                  </w:r>
                </w:p>
              </w:tc>
              <w:tc>
                <w:tcPr>
                  <w:tcW w:w="1207"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国有资本经营预算财政拨款</w:t>
                  </w: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栏次</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82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342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r>
                    <w:rPr>
                      <w:rFonts w:ascii="宋体" w:cs="宋体" w:hAnsi="宋体" w:hint="eastAsia"/>
                      <w:sz w:val="22"/>
                      <w:szCs w:val="22"/>
                    </w:rPr>
                    <w:t>栏次</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72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c>
                <w:tcPr>
                  <w:tcW w:w="1098"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w:t>
                  </w:r>
                </w:p>
              </w:tc>
              <w:tc>
                <w:tcPr>
                  <w:tcW w:w="124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w:t>
                  </w:r>
                </w:p>
              </w:tc>
              <w:tc>
                <w:tcPr>
                  <w:tcW w:w="1207"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w:t>
                  </w: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一、一般公共预算财政拨款</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一、一般公共服务支出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二、政府性基金预算财政拨款</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二、外交支出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三、国有资本经营预算财政拨款</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三、国防支出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四、公共安全支出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sz w:val="22"/>
                      <w:szCs w:val="22"/>
                    </w:rPr>
                  </w:pPr>
                  <w:r>
                    <w:rPr>
                      <w:rFonts w:ascii="Times New Roman" w:cs="Times New Roman" w:hAnsi="Times New Roman"/>
                      <w:sz w:val="22"/>
                      <w:szCs w:val="22"/>
                    </w:rPr>
                    <w:t>5</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五、教育支出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六、科学技术支出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七、文化旅游体育与传媒支出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ind w:right="-210"/>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八、社会保障和就业支出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九、卫生健康支出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十、节能环保支出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11</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十一、城乡社区支出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12</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十二、农林水支出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十三、交通运输支出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十四、资源勘探工业信息等支出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十五、商业服务业等支出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十六、金融支出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48</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十七、援助其他地区支出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十八、自然资源海洋气象等支出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50</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十九、住房保障支出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51</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二十、粮油物资储备支出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52</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二十一、国有资本经营预算支出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53</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二十二、灾害防治及应急管理支出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54</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二十三、其他支出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55</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二十四、债务还本支出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56</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二十五、债务付息支出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57</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二十六、抗疫特别国债安排的支出</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58</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本年收入合计</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本年支出合计</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年初财政拨款结转和结余</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年末财政拨款结转和结余</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60</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   一般公共预算财政拨款</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61</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   政府性基金预算财政拨款</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r>
                    <w:rPr>
                      <w:rFonts w:ascii="Times New Roman" w:cs="Times New Roman" w:hAnsi="Times New Roman"/>
                      <w:sz w:val="22"/>
                      <w:szCs w:val="22"/>
                    </w:rPr>
                    <w:t>   国有资本经营预算财政拨款</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825"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284"/>
              </w:trPr>
              <w:tc>
                <w:tcPr>
                  <w:tcW w:w="3301"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Times New Roman" w:cs="Times New Roman" w:hAnsi="Times New Roman"/>
                      <w:sz w:val="22"/>
                      <w:szCs w:val="22"/>
                    </w:rPr>
                  </w:pPr>
                  <w:r>
                    <w:rPr>
                      <w:rFonts w:ascii="Times New Roman" w:cs="Times New Roman" w:hAnsi="Times New Roman"/>
                      <w:sz w:val="22"/>
                      <w:szCs w:val="22"/>
                    </w:rPr>
                    <w:t>总计</w:t>
                  </w:r>
                </w:p>
              </w:tc>
              <w:tc>
                <w:tcPr>
                  <w:tcW w:w="67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82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sz w:val="22"/>
                      <w:szCs w:val="22"/>
                    </w:rPr>
                  </w:pPr>
                </w:p>
              </w:tc>
              <w:tc>
                <w:tcPr>
                  <w:tcW w:w="3420"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sz w:val="22"/>
                      <w:szCs w:val="22"/>
                    </w:rPr>
                  </w:pPr>
                  <w:r>
                    <w:rPr>
                      <w:rFonts w:ascii="Times New Roman" w:cs="Times New Roman" w:hAnsi="Times New Roman"/>
                      <w:sz w:val="22"/>
                      <w:szCs w:val="22"/>
                    </w:rPr>
                    <w:t>总计</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720"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098"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41"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c>
                <w:tcPr>
                  <w:tcW w:w="1207" w:type="dxa"/>
                  <w:tcBorders>
                    <w:top w:val="nil"/>
                    <w:left w:val="nil"/>
                    <w:bottom w:val="single" w:sz="6" w:space="0" w:color="000000"/>
                    <w:right w:val="single" w:sz="6" w:space="0" w:color="000000"/>
                    <w:tl2br w:val="nil"/>
                    <w:tr2bl w:val="nil"/>
                  </w:tcBorders>
                  <w:noWrap/>
                  <w:vAlign w:val="center"/>
                </w:tcPr>
                <w:p>
                  <w:pPr>
                    <w:rPr>
                      <w:rFonts w:ascii="Times New Roman" w:cs="Times New Roman" w:hAnsi="Times New Roman"/>
                      <w:sz w:val="22"/>
                      <w:szCs w:val="22"/>
                    </w:rPr>
                  </w:pPr>
                </w:p>
              </w:tc>
            </w:tr>
            <w:tr>
              <w:trPr>
                <w:trHeight w:val="944"/>
              </w:trPr>
              <w:tc>
                <w:tcPr>
                  <w:tcW w:w="13252" w:type="dxa"/>
                  <w:gridSpan w:val="9"/>
                  <w:tcBorders>
                    <w:top w:val="nil"/>
                    <w:left w:val="nil"/>
                    <w:bottom w:val="nil"/>
                    <w:right w:val="nil"/>
                    <w:tl2br w:val="nil"/>
                    <w:tr2bl w:val="nil"/>
                  </w:tcBorders>
                  <w:noWrap/>
                  <w:vAlign w:val="center"/>
                </w:tcPr>
                <w:p>
                  <w:pPr>
                    <w:rPr>
                      <w:rFonts w:ascii="Times New Roman" w:cs="Times New Roman" w:hAnsi="Times New Roman"/>
                      <w:color w:val="000000"/>
                      <w:szCs w:val="21"/>
                    </w:rPr>
                  </w:pPr>
                  <w:r>
                    <w:rPr>
                      <w:rFonts w:ascii="Times New Roman" w:cs="Times New Roman" w:hAnsi="Times New Roman"/>
                      <w:color w:val="000000"/>
                      <w:szCs w:val="21"/>
                    </w:rPr>
                    <w:t>注：本表反映部门本年度一般公共预算财政拨款、政府性基金预算财政拨款和国有资本经营预算财政拨款的总收支和年末结转结余情况。</w:t>
                  </w:r>
                </w:p>
              </w:tc>
            </w:tr>
          </w:tbl>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tbl>
            <w:tblPr>
              <w:jc w:val="left"/>
              <w:tblW w:w="129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92"/>
              <w:gridCol w:w="1365"/>
              <w:gridCol w:w="3045"/>
              <w:gridCol w:w="2295"/>
              <w:gridCol w:w="2625"/>
              <w:gridCol w:w="2670"/>
            </w:tblGrid>
            <w:tr>
              <w:trPr>
                <w:trHeight w:val="539"/>
              </w:trPr>
              <w:tc>
                <w:tcPr>
                  <w:tcW w:w="12992" w:type="dxa"/>
                  <w:gridSpan w:val="6"/>
                  <w:tcBorders>
                    <w:top w:val="nil"/>
                    <w:left w:val="nil"/>
                    <w:bottom w:val="nil"/>
                    <w:right w:val="nil"/>
                    <w:tl2br w:val="nil"/>
                    <w:tr2bl w:val="nil"/>
                  </w:tcBorders>
                  <w:noWrap/>
                  <w:vAlign w:val="center"/>
                </w:tcPr>
                <w:p>
                  <w:pPr>
                    <w:rPr>
                      <w:rFonts w:ascii="Times New Roman" w:eastAsia="宋体" w:cs="Times New Roman" w:hAnsi="Times New Roman"/>
                      <w:color w:val="000000"/>
                      <w:sz w:val="44"/>
                    </w:rPr>
                  </w:pPr>
                </w:p>
                <w:p>
                  <w:pPr>
                    <w:jc w:val="center"/>
                    <w:rPr>
                      <w:rFonts w:ascii="Times New Roman" w:eastAsia="宋体" w:cs="Times New Roman" w:hAnsi="Times New Roman"/>
                      <w:b/>
                      <w:bCs/>
                      <w:color w:val="000000"/>
                      <w:sz w:val="44"/>
                    </w:rPr>
                  </w:pPr>
                  <w:r>
                    <w:rPr>
                      <w:rFonts w:ascii="Times New Roman" w:eastAsia="宋体" w:cs="Times New Roman" w:hAnsi="Times New Roman"/>
                      <w:b/>
                      <w:bCs/>
                      <w:color w:val="000000"/>
                      <w:sz w:val="44"/>
                    </w:rPr>
                    <w:t>一般公共预算财政拨款收入支出决算表</w:t>
                  </w:r>
                </w:p>
              </w:tc>
            </w:tr>
            <w:tr>
              <w:trPr>
                <w:trHeight w:val="284"/>
              </w:trPr>
              <w:tc>
                <w:tcPr>
                  <w:tcW w:w="992"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36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304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29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62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670" w:type="dxa"/>
                  <w:tcBorders>
                    <w:top w:val="nil"/>
                    <w:left w:val="nil"/>
                    <w:bottom w:val="nil"/>
                    <w:right w:val="nil"/>
                    <w:tl2br w:val="nil"/>
                    <w:tr2bl w:val="nil"/>
                  </w:tcBorders>
                  <w:noWrap/>
                  <w:vAlign w:val="center"/>
                </w:tcPr>
                <w:p>
                  <w:pPr>
                    <w:rPr>
                      <w:rFonts w:ascii="Times New Roman" w:eastAsia="宋体" w:cs="Times New Roman" w:hAnsi="Times New Roman"/>
                      <w:sz w:val="24"/>
                    </w:rPr>
                  </w:pPr>
                  <w:r>
                    <w:rPr>
                      <w:rFonts w:ascii="Times New Roman" w:eastAsia="宋体" w:cs="Times New Roman" w:hAnsi="Times New Roman"/>
                      <w:sz w:val="24"/>
                    </w:rPr>
                    <w:t>公开05表</w:t>
                  </w:r>
                </w:p>
              </w:tc>
            </w:tr>
            <w:tr>
              <w:trPr>
                <w:trHeight w:val="284"/>
              </w:trPr>
              <w:tc>
                <w:tcPr>
                  <w:tcW w:w="5402" w:type="dxa"/>
                  <w:gridSpan w:val="3"/>
                  <w:tcBorders>
                    <w:top w:val="nil"/>
                    <w:left w:val="nil"/>
                    <w:bottom w:val="single" w:sz="6" w:space="0" w:color="000000"/>
                    <w:right w:val="nil"/>
                    <w:tl2br w:val="nil"/>
                    <w:tr2bl w:val="nil"/>
                  </w:tcBorders>
                  <w:noWrap/>
                  <w:vAlign w:val="center"/>
                </w:tcPr>
                <w:p>
                  <w:pPr>
                    <w:rPr>
                      <w:rFonts w:ascii="Times New Roman" w:cs="Times New Roman" w:hAnsi="Times New Roman"/>
                      <w:color w:val="000000"/>
                      <w:sz w:val="24"/>
                    </w:rPr>
                  </w:pPr>
                  <w:r>
                    <w:rPr>
                      <w:rFonts w:ascii="Times New Roman" w:cs="Times New Roman" w:hAnsi="Times New Roman"/>
                      <w:color w:val="000000"/>
                      <w:sz w:val="24"/>
                    </w:rPr>
                    <w:t>部门：中国电子口岸数据中心太原分中心</w:t>
                  </w:r>
                </w:p>
              </w:tc>
              <w:tc>
                <w:tcPr>
                  <w:tcW w:w="229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62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670" w:type="dxa"/>
                  <w:tcBorders>
                    <w:top w:val="nil"/>
                    <w:left w:val="nil"/>
                    <w:bottom w:val="nil"/>
                    <w:right w:val="nil"/>
                    <w:tl2br w:val="nil"/>
                    <w:tr2bl w:val="nil"/>
                  </w:tcBorders>
                  <w:noWrap/>
                  <w:vAlign w:val="center"/>
                </w:tcPr>
                <w:p>
                  <w:pPr>
                    <w:rPr>
                      <w:rFonts w:ascii="Times New Roman" w:eastAsia="宋体" w:cs="Times New Roman" w:hAnsi="Times New Roman"/>
                      <w:sz w:val="24"/>
                    </w:rPr>
                  </w:pPr>
                  <w:r>
                    <w:rPr>
                      <w:rFonts w:ascii="Times New Roman" w:eastAsia="宋体" w:cs="Times New Roman" w:hAnsi="Times New Roman"/>
                      <w:sz w:val="24"/>
                    </w:rPr>
                    <w:t>单位：万元</w:t>
                  </w:r>
                </w:p>
              </w:tc>
            </w:tr>
            <w:tr>
              <w:trPr>
                <w:trHeight w:val="284"/>
              </w:trPr>
              <w:tc>
                <w:tcPr>
                  <w:tcW w:w="540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项目</w:t>
                  </w:r>
                </w:p>
              </w:tc>
              <w:tc>
                <w:tcPr>
                  <w:tcW w:w="7590"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本年支出</w:t>
                  </w:r>
                </w:p>
              </w:tc>
            </w:tr>
            <w:tr>
              <w:trPr>
                <w:trHeight w:val="569"/>
              </w:trPr>
              <w:tc>
                <w:tcPr>
                  <w:tcW w:w="2357"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科目代码</w:t>
                  </w:r>
                </w:p>
              </w:tc>
              <w:tc>
                <w:tcPr>
                  <w:tcW w:w="3045" w:type="dxa"/>
                  <w:tcBorders>
                    <w:top w:val="nil"/>
                    <w:left w:val="nil"/>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科目名称</w:t>
                  </w:r>
                </w:p>
              </w:tc>
              <w:tc>
                <w:tcPr>
                  <w:tcW w:w="2295" w:type="dxa"/>
                  <w:tcBorders>
                    <w:top w:val="nil"/>
                    <w:left w:val="nil"/>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小计</w:t>
                  </w:r>
                </w:p>
              </w:tc>
              <w:tc>
                <w:tcPr>
                  <w:tcW w:w="2625" w:type="dxa"/>
                  <w:tcBorders>
                    <w:top w:val="nil"/>
                    <w:left w:val="nil"/>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基本支出</w:t>
                  </w:r>
                </w:p>
              </w:tc>
              <w:tc>
                <w:tcPr>
                  <w:tcW w:w="2670" w:type="dxa"/>
                  <w:tcBorders>
                    <w:top w:val="nil"/>
                    <w:left w:val="nil"/>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项目支出</w:t>
                  </w:r>
                </w:p>
              </w:tc>
            </w:tr>
            <w:tr>
              <w:trPr>
                <w:trHeight w:val="284"/>
              </w:trPr>
              <w:tc>
                <w:tcPr>
                  <w:tcW w:w="5402" w:type="dxa"/>
                  <w:gridSpan w:val="3"/>
                  <w:tcBorders>
                    <w:top w:val="nil"/>
                    <w:left w:val="single" w:sz="6" w:space="0" w:color="000000"/>
                    <w:bottom w:val="single" w:sz="6" w:space="0" w:color="000000"/>
                    <w:right w:val="single" w:sz="6" w:space="0" w:color="000000"/>
                    <w:tl2br w:val="nil"/>
                    <w:tr2bl w:val="nil"/>
                  </w:tcBorders>
                  <w:noWrap/>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合计</w:t>
                  </w:r>
                </w:p>
              </w:tc>
              <w:tc>
                <w:tcPr>
                  <w:tcW w:w="229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sz w:val="22"/>
                      <w:szCs w:val="22"/>
                    </w:rPr>
                  </w:pPr>
                </w:p>
              </w:tc>
              <w:tc>
                <w:tcPr>
                  <w:tcW w:w="2625"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sz w:val="22"/>
                      <w:szCs w:val="22"/>
                    </w:rPr>
                  </w:pPr>
                </w:p>
              </w:tc>
              <w:tc>
                <w:tcPr>
                  <w:tcW w:w="2670" w:type="dxa"/>
                  <w:tcBorders>
                    <w:top w:val="nil"/>
                    <w:left w:val="nil"/>
                    <w:bottom w:val="single" w:sz="6" w:space="0" w:color="000000"/>
                    <w:right w:val="single" w:sz="6" w:space="0" w:color="000000"/>
                    <w:tl2br w:val="nil"/>
                    <w:tr2bl w:val="nil"/>
                  </w:tcBorders>
                  <w:noWrap/>
                  <w:vAlign w:val="center"/>
                </w:tcPr>
                <w:p>
                  <w:pPr>
                    <w:jc w:val="center"/>
                    <w:rPr>
                      <w:rFonts w:ascii="Times New Roman" w:cs="Times New Roman" w:hAnsi="Times New Roman"/>
                      <w:sz w:val="22"/>
                      <w:szCs w:val="22"/>
                    </w:rPr>
                  </w:pPr>
                </w:p>
              </w:tc>
            </w:tr>
            <w:tr>
              <w:trPr>
                <w:trHeight w:val="284"/>
              </w:trPr>
              <w:tc>
                <w:tcPr>
                  <w:tcW w:w="2357"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color w:val="000000"/>
                      <w:sz w:val="22"/>
                      <w:szCs w:val="22"/>
                    </w:rPr>
                  </w:pPr>
                </w:p>
              </w:tc>
              <w:tc>
                <w:tcPr>
                  <w:tcW w:w="3045" w:type="dxa"/>
                  <w:tcBorders>
                    <w:top w:val="nil"/>
                    <w:left w:val="nil"/>
                    <w:bottom w:val="single" w:sz="6" w:space="0" w:color="000000"/>
                    <w:right w:val="single" w:sz="6" w:space="0" w:color="000000"/>
                    <w:tl2br w:val="nil"/>
                    <w:tr2bl w:val="nil"/>
                  </w:tcBorders>
                  <w:noWrap/>
                  <w:vAlign w:val="center"/>
                </w:tcPr>
                <w:p>
                  <w:pPr>
                    <w:jc w:val="center"/>
                    <w:rPr>
                      <w:rFonts w:ascii="Times New Roman" w:eastAsia="宋体" w:cs="Times New Roman" w:hAnsi="Times New Roman"/>
                      <w:sz w:val="22"/>
                      <w:szCs w:val="22"/>
                    </w:rPr>
                  </w:pPr>
                </w:p>
              </w:tc>
              <w:tc>
                <w:tcPr>
                  <w:tcW w:w="2295" w:type="dxa"/>
                  <w:tcBorders>
                    <w:top w:val="nil"/>
                    <w:left w:val="nil"/>
                    <w:bottom w:val="single" w:sz="6" w:space="0" w:color="000000"/>
                    <w:right w:val="single" w:sz="6" w:space="0" w:color="000000"/>
                    <w:tl2br w:val="nil"/>
                    <w:tr2bl w:val="nil"/>
                  </w:tcBorders>
                  <w:noWrap/>
                  <w:vAlign w:val="center"/>
                </w:tcPr>
                <w:p>
                  <w:pPr>
                    <w:jc w:val="center"/>
                    <w:rPr>
                      <w:rFonts w:ascii="Times New Roman" w:eastAsia="Arial" w:cs="Times New Roman" w:hAnsi="Times New Roman"/>
                      <w:sz w:val="22"/>
                      <w:szCs w:val="22"/>
                    </w:rPr>
                  </w:pPr>
                </w:p>
              </w:tc>
              <w:tc>
                <w:tcPr>
                  <w:tcW w:w="2625" w:type="dxa"/>
                  <w:tcBorders>
                    <w:top w:val="nil"/>
                    <w:left w:val="nil"/>
                    <w:bottom w:val="single" w:sz="6" w:space="0" w:color="000000"/>
                    <w:right w:val="single" w:sz="6" w:space="0" w:color="000000"/>
                    <w:tl2br w:val="nil"/>
                    <w:tr2bl w:val="nil"/>
                  </w:tcBorders>
                  <w:noWrap/>
                  <w:vAlign w:val="center"/>
                </w:tcPr>
                <w:p>
                  <w:pPr>
                    <w:jc w:val="center"/>
                    <w:rPr>
                      <w:rFonts w:ascii="Times New Roman" w:eastAsia="Arial" w:cs="Times New Roman" w:hAnsi="Times New Roman"/>
                      <w:sz w:val="22"/>
                      <w:szCs w:val="22"/>
                    </w:rPr>
                  </w:pPr>
                </w:p>
              </w:tc>
              <w:tc>
                <w:tcPr>
                  <w:tcW w:w="2670" w:type="dxa"/>
                  <w:tcBorders>
                    <w:top w:val="nil"/>
                    <w:left w:val="nil"/>
                    <w:bottom w:val="single" w:sz="6" w:space="0" w:color="000000"/>
                    <w:right w:val="single" w:sz="6" w:space="0" w:color="000000"/>
                    <w:tl2br w:val="nil"/>
                    <w:tr2bl w:val="nil"/>
                  </w:tcBorders>
                  <w:noWrap/>
                  <w:vAlign w:val="center"/>
                </w:tcPr>
                <w:p>
                  <w:pPr>
                    <w:jc w:val="center"/>
                    <w:rPr>
                      <w:rFonts w:ascii="Times New Roman" w:eastAsia="Arial" w:cs="Times New Roman" w:hAnsi="Times New Roman"/>
                      <w:sz w:val="22"/>
                      <w:szCs w:val="22"/>
                    </w:rPr>
                  </w:pPr>
                </w:p>
              </w:tc>
            </w:tr>
            <w:tr>
              <w:trPr>
                <w:trHeight w:val="284"/>
              </w:trPr>
              <w:tc>
                <w:tcPr>
                  <w:tcW w:w="12992" w:type="dxa"/>
                  <w:gridSpan w:val="6"/>
                  <w:tcBorders>
                    <w:top w:val="nil"/>
                    <w:left w:val="nil"/>
                    <w:bottom w:val="nil"/>
                    <w:right w:val="nil"/>
                    <w:tl2br w:val="nil"/>
                    <w:tr2bl w:val="nil"/>
                  </w:tcBorders>
                  <w:noWrap/>
                  <w:vAlign w:val="center"/>
                </w:tcPr>
                <w:p>
                  <w:pPr>
                    <w:rPr>
                      <w:rFonts w:ascii="Times New Roman" w:eastAsia="宋体" w:cs="Times New Roman" w:hAnsi="Times New Roman"/>
                      <w:color w:val="000000"/>
                      <w:sz w:val="24"/>
                    </w:rPr>
                  </w:pPr>
                  <w:r>
                    <w:rPr>
                      <w:rFonts w:ascii="Times New Roman" w:eastAsia="宋体" w:cs="Times New Roman" w:hAnsi="Times New Roman"/>
                      <w:color w:val="000000"/>
                      <w:sz w:val="24"/>
                    </w:rPr>
                    <w:t>注：本表反映部门本年度一般公共预算财政拨款支出情况。</w:t>
                  </w:r>
                </w:p>
              </w:tc>
            </w:tr>
          </w:tbl>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tbl>
            <w:tblPr>
              <w:jc w:val="left"/>
              <w:tblInd w:w="0" w:type="dxa"/>
              <w:tblW w:w="1323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23"/>
              <w:gridCol w:w="2497"/>
              <w:gridCol w:w="883"/>
              <w:gridCol w:w="1169"/>
              <w:gridCol w:w="1672"/>
              <w:gridCol w:w="1072"/>
              <w:gridCol w:w="1135"/>
              <w:gridCol w:w="2362"/>
              <w:gridCol w:w="1321"/>
            </w:tblGrid>
            <w:tr>
              <w:trPr>
                <w:trHeight w:val="539"/>
              </w:trPr>
              <w:tc>
                <w:tcPr>
                  <w:tcW w:w="13234" w:type="dxa"/>
                  <w:gridSpan w:val="9"/>
                  <w:tcBorders>
                    <w:top w:val="nil"/>
                    <w:left w:val="nil"/>
                    <w:bottom w:val="nil"/>
                    <w:right w:val="nil"/>
                    <w:tl2br w:val="nil"/>
                    <w:tr2bl w:val="nil"/>
                  </w:tcBorders>
                  <w:noWrap/>
                  <w:vAlign w:val="center"/>
                </w:tcPr>
                <w:p>
                  <w:pPr>
                    <w:jc w:val="center"/>
                    <w:rPr>
                      <w:rFonts w:ascii="Times New Roman" w:eastAsia="宋体" w:cs="Times New Roman" w:hAnsi="Times New Roman"/>
                      <w:b/>
                      <w:bCs/>
                      <w:color w:val="000000"/>
                      <w:sz w:val="44"/>
                    </w:rPr>
                  </w:pPr>
                  <w:r>
                    <w:rPr>
                      <w:rFonts w:ascii="Times New Roman" w:eastAsia="宋体" w:cs="Times New Roman" w:hAnsi="Times New Roman"/>
                      <w:b/>
                      <w:bCs/>
                      <w:color w:val="000000"/>
                      <w:sz w:val="44"/>
                    </w:rPr>
                    <w:t>一般公共预算财政拨款基本支出决算明细表</w:t>
                  </w:r>
                </w:p>
              </w:tc>
            </w:tr>
            <w:tr>
              <w:trPr>
                <w:trHeight w:val="284"/>
              </w:trPr>
              <w:tc>
                <w:tcPr>
                  <w:tcW w:w="3620"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883"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169"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672"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072"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13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362"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321" w:type="dxa"/>
                  <w:tcBorders>
                    <w:top w:val="nil"/>
                    <w:left w:val="nil"/>
                    <w:bottom w:val="nil"/>
                    <w:right w:val="nil"/>
                    <w:tl2br w:val="nil"/>
                    <w:tr2bl w:val="nil"/>
                  </w:tcBorders>
                  <w:noWrap/>
                  <w:vAlign w:val="center"/>
                </w:tcPr>
                <w:p>
                  <w:pPr>
                    <w:rPr>
                      <w:rFonts w:ascii="Times New Roman" w:eastAsia="宋体" w:cs="Times New Roman" w:hAnsi="Times New Roman"/>
                      <w:sz w:val="24"/>
                    </w:rPr>
                  </w:pPr>
                  <w:r>
                    <w:rPr>
                      <w:rFonts w:ascii="Times New Roman" w:eastAsia="宋体" w:cs="Times New Roman" w:hAnsi="Times New Roman"/>
                      <w:sz w:val="24"/>
                    </w:rPr>
                    <w:t>公开06表</w:t>
                  </w:r>
                </w:p>
              </w:tc>
            </w:tr>
            <w:tr>
              <w:trPr>
                <w:trHeight w:val="284"/>
              </w:trPr>
              <w:tc>
                <w:tcPr>
                  <w:tcW w:w="5672" w:type="dxa"/>
                  <w:gridSpan w:val="4"/>
                  <w:tcBorders>
                    <w:top w:val="nil"/>
                    <w:left w:val="nil"/>
                    <w:bottom w:val="single" w:sz="6" w:space="0" w:color="000000"/>
                    <w:right w:val="nil"/>
                    <w:tl2br w:val="nil"/>
                    <w:tr2bl w:val="nil"/>
                  </w:tcBorders>
                  <w:noWrap/>
                  <w:vAlign w:val="center"/>
                </w:tcPr>
                <w:p>
                  <w:pPr>
                    <w:rPr>
                      <w:rFonts w:ascii="Times New Roman" w:eastAsia="宋体" w:cs="Times New Roman" w:hAnsi="Times New Roman"/>
                      <w:color w:val="000000"/>
                      <w:sz w:val="24"/>
                    </w:rPr>
                  </w:pPr>
                  <w:r>
                    <w:rPr>
                      <w:rFonts w:ascii="Times New Roman" w:eastAsia="宋体" w:cs="Times New Roman" w:hAnsi="Times New Roman"/>
                      <w:color w:val="000000"/>
                      <w:sz w:val="24"/>
                    </w:rPr>
                    <w:t>部门：中国电子口岸数据中心太原分中心</w:t>
                  </w:r>
                </w:p>
              </w:tc>
              <w:tc>
                <w:tcPr>
                  <w:tcW w:w="1672"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072"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13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362"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1321" w:type="dxa"/>
                  <w:tcBorders>
                    <w:top w:val="nil"/>
                    <w:left w:val="nil"/>
                    <w:bottom w:val="nil"/>
                    <w:right w:val="nil"/>
                    <w:tl2br w:val="nil"/>
                    <w:tr2bl w:val="nil"/>
                  </w:tcBorders>
                  <w:noWrap/>
                  <w:vAlign w:val="center"/>
                </w:tcPr>
                <w:p>
                  <w:pPr>
                    <w:rPr>
                      <w:rFonts w:ascii="Times New Roman" w:eastAsia="宋体" w:cs="Times New Roman" w:hAnsi="Times New Roman"/>
                      <w:sz w:val="24"/>
                    </w:rPr>
                  </w:pPr>
                  <w:r>
                    <w:rPr>
                      <w:rFonts w:ascii="Times New Roman" w:eastAsia="宋体" w:cs="Times New Roman" w:hAnsi="Times New Roman"/>
                      <w:sz w:val="24"/>
                    </w:rPr>
                    <w:t>单位：万元</w:t>
                  </w:r>
                </w:p>
              </w:tc>
            </w:tr>
            <w:tr>
              <w:trPr>
                <w:trHeight w:val="569"/>
              </w:trPr>
              <w:tc>
                <w:tcPr>
                  <w:tcW w:w="11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科目代码</w:t>
                  </w:r>
                </w:p>
              </w:tc>
              <w:tc>
                <w:tcPr>
                  <w:tcW w:w="2497"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科目名称</w:t>
                  </w:r>
                </w:p>
              </w:tc>
              <w:tc>
                <w:tcPr>
                  <w:tcW w:w="883"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决算数</w:t>
                  </w:r>
                </w:p>
              </w:tc>
              <w:tc>
                <w:tcPr>
                  <w:tcW w:w="1169"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科目代码</w:t>
                  </w:r>
                </w:p>
              </w:tc>
              <w:tc>
                <w:tcPr>
                  <w:tcW w:w="1672"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科目名称</w:t>
                  </w:r>
                </w:p>
              </w:tc>
              <w:tc>
                <w:tcPr>
                  <w:tcW w:w="1072"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决算数</w:t>
                  </w:r>
                </w:p>
              </w:tc>
              <w:tc>
                <w:tcPr>
                  <w:tcW w:w="1135"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科目代码</w:t>
                  </w:r>
                </w:p>
              </w:tc>
              <w:tc>
                <w:tcPr>
                  <w:tcW w:w="2362"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科目名称</w:t>
                  </w:r>
                </w:p>
              </w:tc>
              <w:tc>
                <w:tcPr>
                  <w:tcW w:w="1321"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决算数</w:t>
                  </w:r>
                </w:p>
              </w:tc>
            </w:tr>
            <w:tr>
              <w:trPr>
                <w:trHeight w:val="79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工资福利支出</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商品和服务支出</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307</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债务利息及费用支出</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30101</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基本工资</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30201</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办公费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30701</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国内债务付息</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30102</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津贴补贴</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30202</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印刷费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30702</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国外债务付息</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30103</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奖金</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30203</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咨询费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资本性支出</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30106</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伙食补助费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30204</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手续费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31001</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房屋建筑物购建</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30107</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绩效工资</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30205</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水费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31002</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办公设备购置</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599"/>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30108</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机关事业单位基本养老保险缴费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30206</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电费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31003</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专用设备购置</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30109</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职业年金缴费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30207</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邮电费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31005</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基础设施建设</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30110</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职工基本医疗保险缴费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30208</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取暖费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31006</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大型修缮</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5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30111</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公务员医疗补助缴费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30209</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物业管理费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31007</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信息网络及软件购置更新</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30112</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其他社会保障缴费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30211</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差旅费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31008</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物资储备</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55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30113</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住房公积金</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30212</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因公出国（境）费用</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31009</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土地补偿</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30114</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医疗费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30213</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维修（护）费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31010</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安置补助</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539"/>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30199</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其他工资福利支出</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30214</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租赁费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31011</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地上附着物和青苗补偿</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对个人和家庭的补助</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30215</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会议费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31012</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拆迁补偿</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30301</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离休费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30216</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培训费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31013</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公务用车购置</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30302</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退休费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30217</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公务接待费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31019</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其他交通工具购置</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30303</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退职（役）费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30218</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专用材料费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31021</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文物和陈列品购置</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30304</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抚恤金</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30224</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被装购置费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31022</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无形资产购置</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30305</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生活补助</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30225</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专用燃料费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31099</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其他资本性支出</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30306</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救济费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30226</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劳务费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399</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其他支出</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30307</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医疗费补助</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30227</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委托业务费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39907</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国家赔偿费用支出</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85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30308</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助学金</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30228</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工会经费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39908</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对民间非营利组织和群众性自治组织补贴</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30309</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奖励金</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30229</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福利费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39909</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经常性赠与</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629"/>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30310</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个人农业生产补贴</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30231</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公务用车运行维护费</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39910</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资本性赠与</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61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30311</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代缴社会保险费</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30239</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其他交通费用</w:t>
                  </w:r>
                </w:p>
              </w:tc>
              <w:tc>
                <w:tcPr>
                  <w:tcW w:w="1072" w:type="dxa"/>
                  <w:tcBorders>
                    <w:top w:val="single" w:sz="6" w:space="0" w:color="000000"/>
                    <w:left w:val="single" w:sz="6" w:space="0" w:color="000000"/>
                    <w:bottom w:val="single" w:sz="6" w:space="0" w:color="000000"/>
                    <w:right w:val="nil"/>
                    <w:tl2br w:val="nil"/>
                    <w:tr2bl w:val="nil"/>
                  </w:tcBorders>
                  <w:noWrap/>
                  <w:vAlign w:val="center"/>
                </w:tcPr>
                <w:p>
                  <w:pPr>
                    <w:rPr>
                      <w:rFonts w:ascii="宋体" w:cs="宋体" w:hAnsi="宋体" w:hint="eastAsia"/>
                      <w:color w:val="000000"/>
                      <w:sz w:val="22"/>
                      <w:szCs w:val="22"/>
                    </w:rPr>
                  </w:pPr>
                </w:p>
              </w:tc>
              <w:tc>
                <w:tcPr>
                  <w:tcW w:w="11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39999</w:t>
                  </w: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其他支出</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55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30399</w:t>
                  </w: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其他对个人和家庭的补助</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30240</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税金及附加费用</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123"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2497"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69"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30299</w:t>
                  </w:r>
                </w:p>
              </w:tc>
              <w:tc>
                <w:tcPr>
                  <w:tcW w:w="16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r>
                    <w:rPr>
                      <w:rFonts w:ascii="宋体" w:cs="宋体" w:hAnsi="宋体" w:hint="eastAsia"/>
                      <w:sz w:val="22"/>
                      <w:szCs w:val="22"/>
                    </w:rPr>
                    <w:t>其他商品和服务支出</w:t>
                  </w:r>
                </w:p>
              </w:tc>
              <w:tc>
                <w:tcPr>
                  <w:tcW w:w="107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135"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2362"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3620" w:type="dxa"/>
                  <w:gridSpan w:val="2"/>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人员经费合计</w:t>
                  </w:r>
                </w:p>
              </w:tc>
              <w:tc>
                <w:tcPr>
                  <w:tcW w:w="883"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7410" w:type="dxa"/>
                  <w:gridSpan w:val="5"/>
                  <w:tcBorders>
                    <w:top w:val="nil"/>
                    <w:left w:val="nil"/>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公用经费合计</w:t>
                  </w:r>
                </w:p>
              </w:tc>
              <w:tc>
                <w:tcPr>
                  <w:tcW w:w="1321"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r>
            <w:tr>
              <w:trPr>
                <w:trHeight w:val="284"/>
              </w:trPr>
              <w:tc>
                <w:tcPr>
                  <w:tcW w:w="13234" w:type="dxa"/>
                  <w:gridSpan w:val="9"/>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注：本表反映部门本年度一般公共预算财政拨款基本支出明细情况。</w:t>
                  </w:r>
                </w:p>
              </w:tc>
            </w:tr>
          </w:tbl>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p>
            <w:pPr>
              <w:rPr>
                <w:rFonts w:ascii="Times New Roman" w:eastAsia="宋体" w:cs="Times New Roman" w:hAnsi="Times New Roman"/>
                <w:color w:val="000000"/>
                <w:sz w:val="44"/>
              </w:rPr>
            </w:pPr>
          </w:p>
        </w:tc>
      </w:tr>
      <w:tr>
        <w:trPr>
          <w:trHeight w:val="284"/>
          <w:gridAfter w:val="1"/>
          <w:wAfter w:w="265" w:type="dxa"/>
        </w:trPr>
        <w:tc>
          <w:tcPr>
            <w:tcW w:w="1235"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539"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5160" w:type="dxa"/>
            <w:gridSpan w:val="3"/>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114"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114" w:type="dxa"/>
            <w:gridSpan w:val="3"/>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207" w:type="dxa"/>
            <w:gridSpan w:val="2"/>
            <w:tcBorders>
              <w:top w:val="nil"/>
              <w:left w:val="nil"/>
              <w:bottom w:val="nil"/>
              <w:right w:val="nil"/>
              <w:tl2br w:val="nil"/>
              <w:tr2bl w:val="nil"/>
            </w:tcBorders>
            <w:noWrap/>
            <w:vAlign w:val="center"/>
          </w:tcPr>
          <w:p>
            <w:pPr>
              <w:jc w:val="right"/>
              <w:rPr>
                <w:rFonts w:ascii="Times New Roman" w:eastAsia="宋体" w:cs="Times New Roman" w:hAnsi="Times New Roman"/>
                <w:sz w:val="24"/>
              </w:rPr>
            </w:pPr>
          </w:p>
        </w:tc>
      </w:tr>
      <w:tr>
        <w:trPr>
          <w:trHeight w:val="284"/>
          <w:gridAfter w:val="1"/>
          <w:wAfter w:w="265" w:type="dxa"/>
        </w:trPr>
        <w:tc>
          <w:tcPr>
            <w:tcW w:w="13369" w:type="dxa"/>
            <w:gridSpan w:val="13"/>
            <w:tcBorders>
              <w:top w:val="nil"/>
              <w:left w:val="nil"/>
              <w:bottom w:val="nil"/>
              <w:right w:val="nil"/>
              <w:tl2br w:val="nil"/>
              <w:tr2bl w:val="nil"/>
            </w:tcBorders>
            <w:noWrap/>
            <w:vAlign w:val="center"/>
          </w:tcPr>
          <w:p>
            <w:pPr>
              <w:rPr>
                <w:rFonts w:ascii="Times New Roman" w:eastAsia="宋体" w:cs="Times New Roman" w:hAnsi="Times New Roman"/>
                <w:color w:val="000000"/>
                <w:sz w:val="22"/>
              </w:rPr>
            </w:pPr>
          </w:p>
        </w:tc>
      </w:tr>
    </w:tbl>
    <w:p>
      <w:pPr>
        <w:keepNext w:val="0"/>
        <w:keepLines w:val="0"/>
        <w:pageBreakBefore w:val="0"/>
        <w:widowControl w:val="0"/>
        <w:suppressLineNumbers w:val="0"/>
        <w:suppressAutoHyphens w:val="0"/>
        <w:rPr>
          <w:rFonts w:ascii="Times New Roman" w:cs="Times New Roman" w:hAnsi="Times New Roman"/>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39"/>
        <w:gridCol w:w="2880"/>
        <w:gridCol w:w="1770"/>
        <w:gridCol w:w="1335"/>
        <w:gridCol w:w="1230"/>
        <w:gridCol w:w="839"/>
        <w:gridCol w:w="1921"/>
        <w:gridCol w:w="2040"/>
      </w:tblGrid>
      <w:tr>
        <w:trPr>
          <w:trHeight w:val="539"/>
        </w:trPr>
        <w:tc>
          <w:tcPr>
            <w:tcW w:w="12015" w:type="dxa"/>
            <w:gridSpan w:val="8"/>
            <w:tcBorders>
              <w:top w:val="nil"/>
              <w:left w:val="nil"/>
              <w:bottom w:val="nil"/>
              <w:right w:val="nil"/>
              <w:tl2br w:val="nil"/>
              <w:tr2bl w:val="nil"/>
            </w:tcBorders>
            <w:noWrap/>
            <w:vAlign w:val="center"/>
          </w:tcPr>
          <w:p>
            <w:pPr>
              <w:ind w:firstLineChars="550" w:firstLine="2420"/>
              <w:rPr>
                <w:rFonts w:ascii="宋体" w:cs="宋体" w:hAnsi="宋体" w:hint="eastAsia"/>
                <w:b/>
                <w:bCs/>
                <w:color w:val="000000"/>
                <w:sz w:val="44"/>
              </w:rPr>
            </w:pPr>
            <w:r>
              <w:rPr>
                <w:rFonts w:ascii="宋体" w:cs="宋体" w:hAnsi="宋体" w:hint="eastAsia"/>
                <w:b/>
                <w:bCs/>
                <w:color w:val="000000"/>
                <w:sz w:val="44"/>
              </w:rPr>
              <w:t>政府性基金预算财政拨款收入支出决算表</w:t>
            </w:r>
          </w:p>
        </w:tc>
      </w:tr>
      <w:tr>
        <w:trPr>
          <w:trHeight w:val="284"/>
        </w:trPr>
        <w:tc>
          <w:tcPr>
            <w:tcW w:w="2880" w:type="dxa"/>
            <w:gridSpan w:val="2"/>
            <w:tcBorders>
              <w:top w:val="nil"/>
              <w:left w:val="nil"/>
              <w:bottom w:val="nil"/>
              <w:right w:val="nil"/>
              <w:tl2br w:val="nil"/>
              <w:tr2bl w:val="nil"/>
            </w:tcBorders>
            <w:noWrap/>
            <w:vAlign w:val="center"/>
          </w:tcPr>
          <w:p>
            <w:pPr>
              <w:rPr>
                <w:rFonts w:ascii="宋体" w:cs="宋体" w:hAnsi="宋体" w:hint="eastAsia"/>
                <w:sz w:val="24"/>
              </w:rPr>
            </w:pPr>
          </w:p>
        </w:tc>
        <w:tc>
          <w:tcPr>
            <w:tcW w:w="1770" w:type="dxa"/>
            <w:tcBorders>
              <w:top w:val="nil"/>
              <w:left w:val="nil"/>
              <w:bottom w:val="nil"/>
              <w:right w:val="nil"/>
              <w:tl2br w:val="nil"/>
              <w:tr2bl w:val="nil"/>
            </w:tcBorders>
            <w:noWrap/>
            <w:vAlign w:val="center"/>
          </w:tcPr>
          <w:p>
            <w:pPr>
              <w:rPr>
                <w:rFonts w:ascii="宋体" w:cs="宋体" w:hAnsi="宋体" w:hint="eastAsia"/>
                <w:sz w:val="24"/>
              </w:rPr>
            </w:pPr>
          </w:p>
        </w:tc>
        <w:tc>
          <w:tcPr>
            <w:tcW w:w="1335" w:type="dxa"/>
            <w:tcBorders>
              <w:top w:val="nil"/>
              <w:left w:val="nil"/>
              <w:bottom w:val="nil"/>
              <w:right w:val="nil"/>
              <w:tl2br w:val="nil"/>
              <w:tr2bl w:val="nil"/>
            </w:tcBorders>
            <w:noWrap/>
            <w:vAlign w:val="center"/>
          </w:tcPr>
          <w:p>
            <w:pPr>
              <w:rPr>
                <w:rFonts w:ascii="宋体" w:cs="宋体" w:hAnsi="宋体" w:hint="eastAsia"/>
                <w:sz w:val="24"/>
              </w:rPr>
            </w:pPr>
          </w:p>
        </w:tc>
        <w:tc>
          <w:tcPr>
            <w:tcW w:w="1230" w:type="dxa"/>
            <w:tcBorders>
              <w:top w:val="nil"/>
              <w:left w:val="nil"/>
              <w:bottom w:val="nil"/>
              <w:right w:val="nil"/>
              <w:tl2br w:val="nil"/>
              <w:tr2bl w:val="nil"/>
            </w:tcBorders>
            <w:noWrap/>
            <w:vAlign w:val="center"/>
          </w:tcPr>
          <w:p>
            <w:pPr>
              <w:rPr>
                <w:rFonts w:ascii="宋体" w:cs="宋体" w:hAnsi="宋体" w:hint="eastAsia"/>
                <w:sz w:val="24"/>
              </w:rPr>
            </w:pPr>
          </w:p>
        </w:tc>
        <w:tc>
          <w:tcPr>
            <w:tcW w:w="839" w:type="dxa"/>
            <w:tcBorders>
              <w:top w:val="nil"/>
              <w:left w:val="nil"/>
              <w:bottom w:val="nil"/>
              <w:right w:val="nil"/>
              <w:tl2br w:val="nil"/>
              <w:tr2bl w:val="nil"/>
            </w:tcBorders>
            <w:noWrap/>
            <w:vAlign w:val="center"/>
          </w:tcPr>
          <w:p>
            <w:pPr>
              <w:rPr>
                <w:rFonts w:ascii="宋体" w:cs="宋体" w:hAnsi="宋体" w:hint="eastAsia"/>
                <w:sz w:val="24"/>
              </w:rPr>
            </w:pPr>
          </w:p>
        </w:tc>
        <w:tc>
          <w:tcPr>
            <w:tcW w:w="1921" w:type="dxa"/>
            <w:tcBorders>
              <w:top w:val="nil"/>
              <w:left w:val="nil"/>
              <w:bottom w:val="nil"/>
              <w:right w:val="nil"/>
              <w:tl2br w:val="nil"/>
              <w:tr2bl w:val="nil"/>
            </w:tcBorders>
            <w:noWrap/>
            <w:vAlign w:val="center"/>
          </w:tcPr>
          <w:p>
            <w:pPr>
              <w:rPr>
                <w:rFonts w:ascii="宋体" w:cs="宋体" w:hAnsi="宋体" w:hint="eastAsia"/>
                <w:sz w:val="24"/>
              </w:rPr>
            </w:pPr>
          </w:p>
        </w:tc>
        <w:tc>
          <w:tcPr>
            <w:tcW w:w="2040" w:type="dxa"/>
            <w:tcBorders>
              <w:top w:val="nil"/>
              <w:left w:val="nil"/>
              <w:bottom w:val="nil"/>
              <w:right w:val="nil"/>
              <w:tl2br w:val="nil"/>
              <w:tr2bl w:val="nil"/>
            </w:tcBorders>
            <w:noWrap/>
            <w:vAlign w:val="center"/>
          </w:tcPr>
          <w:p>
            <w:pPr>
              <w:jc w:val="right"/>
              <w:rPr>
                <w:rFonts w:ascii="宋体" w:cs="宋体" w:hAnsi="宋体" w:hint="eastAsia"/>
                <w:sz w:val="24"/>
              </w:rPr>
            </w:pPr>
            <w:r>
              <w:rPr>
                <w:rFonts w:ascii="宋体" w:cs="宋体" w:hAnsi="宋体" w:hint="eastAsia"/>
                <w:sz w:val="24"/>
              </w:rPr>
              <w:t>公开07表</w:t>
            </w:r>
          </w:p>
        </w:tc>
      </w:tr>
      <w:tr>
        <w:trPr>
          <w:trHeight w:val="284"/>
        </w:trPr>
        <w:tc>
          <w:tcPr>
            <w:tcW w:w="4650" w:type="dxa"/>
            <w:gridSpan w:val="3"/>
            <w:tcBorders>
              <w:top w:val="nil"/>
              <w:left w:val="nil"/>
              <w:bottom w:val="single" w:sz="6" w:space="0" w:color="000000"/>
              <w:right w:val="nil"/>
              <w:tl2br w:val="nil"/>
              <w:tr2bl w:val="nil"/>
            </w:tcBorders>
            <w:noWrap/>
            <w:vAlign w:val="center"/>
          </w:tcPr>
          <w:p>
            <w:pPr>
              <w:ind w:left="0"/>
              <w:rPr>
                <w:rFonts w:ascii="宋体" w:cs="宋体" w:hAnsi="宋体" w:hint="eastAsia"/>
                <w:color w:val="000000"/>
                <w:sz w:val="24"/>
              </w:rPr>
            </w:pPr>
            <w:r>
              <w:rPr>
                <w:rFonts w:ascii="宋体" w:cs="宋体" w:hAnsi="宋体" w:hint="eastAsia"/>
                <w:color w:val="000000"/>
                <w:sz w:val="24"/>
              </w:rPr>
              <w:t>部门：中国电子口岸数据中心太原分中心</w:t>
            </w:r>
          </w:p>
        </w:tc>
        <w:tc>
          <w:tcPr>
            <w:tcW w:w="1335" w:type="dxa"/>
            <w:tcBorders>
              <w:top w:val="nil"/>
              <w:left w:val="nil"/>
              <w:bottom w:val="nil"/>
              <w:right w:val="nil"/>
              <w:tl2br w:val="nil"/>
              <w:tr2bl w:val="nil"/>
            </w:tcBorders>
            <w:noWrap/>
            <w:vAlign w:val="center"/>
          </w:tcPr>
          <w:p>
            <w:pPr>
              <w:rPr>
                <w:rFonts w:ascii="宋体" w:cs="宋体" w:hAnsi="宋体" w:hint="eastAsia"/>
                <w:sz w:val="24"/>
              </w:rPr>
            </w:pPr>
          </w:p>
        </w:tc>
        <w:tc>
          <w:tcPr>
            <w:tcW w:w="1230" w:type="dxa"/>
            <w:tcBorders>
              <w:top w:val="nil"/>
              <w:left w:val="nil"/>
              <w:bottom w:val="nil"/>
              <w:right w:val="nil"/>
              <w:tl2br w:val="nil"/>
              <w:tr2bl w:val="nil"/>
            </w:tcBorders>
            <w:noWrap/>
            <w:vAlign w:val="center"/>
          </w:tcPr>
          <w:p>
            <w:pPr>
              <w:jc w:val="center"/>
              <w:rPr>
                <w:rFonts w:ascii="宋体" w:cs="宋体" w:hAnsi="宋体" w:hint="eastAsia"/>
                <w:sz w:val="24"/>
              </w:rPr>
            </w:pPr>
          </w:p>
        </w:tc>
        <w:tc>
          <w:tcPr>
            <w:tcW w:w="839" w:type="dxa"/>
            <w:tcBorders>
              <w:top w:val="nil"/>
              <w:left w:val="nil"/>
              <w:bottom w:val="nil"/>
              <w:right w:val="nil"/>
              <w:tl2br w:val="nil"/>
              <w:tr2bl w:val="nil"/>
            </w:tcBorders>
            <w:noWrap/>
            <w:vAlign w:val="center"/>
          </w:tcPr>
          <w:p>
            <w:pPr>
              <w:rPr>
                <w:rFonts w:ascii="宋体" w:cs="宋体" w:hAnsi="宋体" w:hint="eastAsia"/>
                <w:sz w:val="24"/>
              </w:rPr>
            </w:pPr>
          </w:p>
        </w:tc>
        <w:tc>
          <w:tcPr>
            <w:tcW w:w="1921" w:type="dxa"/>
            <w:tcBorders>
              <w:top w:val="nil"/>
              <w:left w:val="nil"/>
              <w:bottom w:val="nil"/>
              <w:right w:val="nil"/>
              <w:tl2br w:val="nil"/>
              <w:tr2bl w:val="nil"/>
            </w:tcBorders>
            <w:noWrap/>
            <w:vAlign w:val="center"/>
          </w:tcPr>
          <w:p>
            <w:pPr>
              <w:rPr>
                <w:rFonts w:ascii="宋体" w:cs="宋体" w:hAnsi="宋体" w:hint="eastAsia"/>
                <w:sz w:val="24"/>
              </w:rPr>
            </w:pPr>
          </w:p>
        </w:tc>
        <w:tc>
          <w:tcPr>
            <w:tcW w:w="2040" w:type="dxa"/>
            <w:tcBorders>
              <w:top w:val="nil"/>
              <w:left w:val="nil"/>
              <w:bottom w:val="nil"/>
              <w:right w:val="nil"/>
              <w:tl2br w:val="nil"/>
              <w:tr2bl w:val="nil"/>
            </w:tcBorders>
            <w:noWrap/>
            <w:vAlign w:val="center"/>
          </w:tcPr>
          <w:p>
            <w:pPr>
              <w:jc w:val="right"/>
              <w:rPr>
                <w:rFonts w:ascii="宋体" w:cs="宋体" w:hAnsi="宋体" w:hint="eastAsia"/>
                <w:sz w:val="24"/>
              </w:rPr>
            </w:pPr>
            <w:r>
              <w:rPr>
                <w:rFonts w:ascii="宋体" w:cs="宋体" w:hAnsi="宋体" w:hint="eastAsia"/>
                <w:sz w:val="24"/>
              </w:rPr>
              <w:t>单位：万元</w:t>
            </w:r>
          </w:p>
        </w:tc>
      </w:tr>
      <w:tr>
        <w:trPr>
          <w:trHeight w:val="284"/>
        </w:trPr>
        <w:tc>
          <w:tcPr>
            <w:tcW w:w="288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项目</w:t>
            </w:r>
          </w:p>
        </w:tc>
        <w:tc>
          <w:tcPr>
            <w:tcW w:w="177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 xml:space="preserve">年初结转和结余 </w:t>
            </w:r>
          </w:p>
        </w:tc>
        <w:tc>
          <w:tcPr>
            <w:tcW w:w="133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本年收入</w:t>
            </w:r>
          </w:p>
        </w:tc>
        <w:tc>
          <w:tcPr>
            <w:tcW w:w="3990"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本年支出</w:t>
            </w:r>
          </w:p>
        </w:tc>
        <w:tc>
          <w:tcPr>
            <w:tcW w:w="204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年末结转和结余</w:t>
            </w:r>
          </w:p>
        </w:tc>
      </w:tr>
      <w:tr>
        <w:trPr>
          <w:trHeight w:val="569"/>
        </w:trPr>
        <w:tc>
          <w:tcPr>
            <w:tcW w:w="1439"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科目代码</w:t>
            </w:r>
          </w:p>
        </w:tc>
        <w:tc>
          <w:tcPr>
            <w:tcW w:w="288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科目名称</w:t>
            </w:r>
          </w:p>
        </w:tc>
        <w:tc>
          <w:tcPr>
            <w:tcW w:w="1770" w:type="dxa"/>
            <w:vMerge/>
            <w:tcBorders>
              <w:top w:val="nil"/>
              <w:left w:val="nil"/>
              <w:bottom w:val="single" w:sz="6" w:space="0" w:color="000000"/>
              <w:right w:val="single" w:sz="6" w:space="0" w:color="000000"/>
              <w:tl2br w:val="nil"/>
              <w:tr2bl w:val="nil"/>
            </w:tcBorders>
            <w:noWrap/>
            <w:vAlign w:val="center"/>
          </w:tcPr>
          <w:p/>
        </w:tc>
        <w:tc>
          <w:tcPr>
            <w:tcW w:w="1335" w:type="dxa"/>
            <w:vMerge/>
            <w:tcBorders>
              <w:top w:val="nil"/>
              <w:left w:val="nil"/>
              <w:bottom w:val="single" w:sz="6" w:space="0" w:color="000000"/>
              <w:right w:val="single" w:sz="6" w:space="0" w:color="000000"/>
              <w:tl2br w:val="nil"/>
              <w:tr2bl w:val="nil"/>
            </w:tcBorders>
            <w:noWrap/>
            <w:vAlign w:val="center"/>
          </w:tcPr>
          <w:p/>
        </w:tc>
        <w:tc>
          <w:tcPr>
            <w:tcW w:w="123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小计</w:t>
            </w:r>
          </w:p>
        </w:tc>
        <w:tc>
          <w:tcPr>
            <w:tcW w:w="839"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 xml:space="preserve">基本支出 </w:t>
            </w:r>
          </w:p>
        </w:tc>
        <w:tc>
          <w:tcPr>
            <w:tcW w:w="192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项目支出</w:t>
            </w:r>
          </w:p>
        </w:tc>
        <w:tc>
          <w:tcPr>
            <w:tcW w:w="2040" w:type="dxa"/>
            <w:vMerge/>
            <w:tcBorders>
              <w:top w:val="nil"/>
              <w:left w:val="nil"/>
              <w:bottom w:val="single" w:sz="6" w:space="0" w:color="000000"/>
              <w:right w:val="single" w:sz="6" w:space="0" w:color="000000"/>
              <w:tl2br w:val="nil"/>
              <w:tr2bl w:val="nil"/>
            </w:tcBorders>
            <w:noWrap/>
            <w:vAlign w:val="center"/>
          </w:tcPr>
          <w:p/>
        </w:tc>
      </w:tr>
      <w:tr>
        <w:trPr>
          <w:trHeight w:val="284"/>
        </w:trPr>
        <w:tc>
          <w:tcPr>
            <w:tcW w:w="288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栏次</w:t>
            </w:r>
          </w:p>
        </w:tc>
        <w:tc>
          <w:tcPr>
            <w:tcW w:w="177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133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c>
          <w:tcPr>
            <w:tcW w:w="123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w:t>
            </w:r>
          </w:p>
        </w:tc>
        <w:tc>
          <w:tcPr>
            <w:tcW w:w="839"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w:t>
            </w:r>
          </w:p>
        </w:tc>
        <w:tc>
          <w:tcPr>
            <w:tcW w:w="1921"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w:t>
            </w:r>
          </w:p>
        </w:tc>
        <w:tc>
          <w:tcPr>
            <w:tcW w:w="204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w:t>
            </w:r>
          </w:p>
        </w:tc>
      </w:tr>
      <w:tr>
        <w:trPr>
          <w:trHeight w:val="284"/>
        </w:trPr>
        <w:tc>
          <w:tcPr>
            <w:tcW w:w="288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合计</w:t>
            </w:r>
          </w:p>
        </w:tc>
        <w:tc>
          <w:tcPr>
            <w:tcW w:w="177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35"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3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83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92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204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trPr>
        <w:tc>
          <w:tcPr>
            <w:tcW w:w="1439"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2880"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177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335"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23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839"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1921"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2040" w:type="dxa"/>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33"/>
        </w:trPr>
        <w:tc>
          <w:tcPr>
            <w:tcW w:w="12015" w:type="dxa"/>
            <w:gridSpan w:val="8"/>
            <w:tcBorders>
              <w:top w:val="nil"/>
              <w:left w:val="nil"/>
              <w:bottom w:val="nil"/>
              <w:right w:val="nil"/>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注：本表反映部门本年度政府性基金预算财政拨款收入、支出及结转和结余情况。</w:t>
            </w:r>
          </w:p>
        </w:tc>
      </w:tr>
    </w:tbl>
    <w:p>
      <w:pPr>
        <w:keepNext w:val="0"/>
        <w:keepLines w:val="0"/>
        <w:pageBreakBefore w:val="0"/>
        <w:widowControl w:val="0"/>
        <w:suppressLineNumbers w:val="0"/>
        <w:suppressAutoHyphens w:val="0"/>
        <w:rPr>
          <w:rFonts w:ascii="宋体" w:cs="宋体" w:hAnsi="宋体" w:hint="eastAsia"/>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tabs>
          <w:tab w:val="left" w:pos="1120"/>
        </w:tabs>
        <w:spacing w:before="299" w:after="299"/>
        <w:rPr>
          <w:rFonts w:ascii="Times New Roman" w:eastAsia="SimSun" w:hAnsi="Times New Roman"/>
          <w:color w:val="auto"/>
          <w:kern w:val="0"/>
          <w:sz w:val="36"/>
          <w:szCs w:val="36"/>
        </w:rPr>
      </w:pPr>
      <w:r>
        <w:rPr>
          <w:rFonts w:ascii="Times New Roman" w:eastAsia="SimSun" w:hAnsi="Times New Roman"/>
          <w:color w:val="auto"/>
          <w:kern w:val="0"/>
          <w:sz w:val="36"/>
          <w:szCs w:val="36"/>
        </w:rPr>
        <w:tab/>
      </w: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294"/>
        <w:gridCol w:w="4860"/>
        <w:gridCol w:w="77"/>
        <w:gridCol w:w="2023"/>
        <w:gridCol w:w="75"/>
        <w:gridCol w:w="2025"/>
        <w:gridCol w:w="77"/>
        <w:gridCol w:w="2023"/>
      </w:tblGrid>
      <w:tr>
        <w:trPr>
          <w:trHeight w:val="539"/>
        </w:trPr>
        <w:tc>
          <w:tcPr>
            <w:tcW w:w="11160" w:type="dxa"/>
            <w:gridSpan w:val="8"/>
            <w:tcBorders>
              <w:top w:val="nil"/>
              <w:left w:val="nil"/>
              <w:bottom w:val="nil"/>
              <w:right w:val="nil"/>
              <w:tl2br w:val="nil"/>
              <w:tr2bl w:val="nil"/>
            </w:tcBorders>
            <w:noWrap/>
            <w:vAlign w:val="center"/>
          </w:tcPr>
          <w:p>
            <w:pPr>
              <w:jc w:val="center"/>
              <w:rPr>
                <w:rFonts w:ascii="Times New Roman" w:eastAsia="宋体" w:cs="Times New Roman" w:hAnsi="Times New Roman"/>
                <w:b/>
                <w:bCs/>
                <w:color w:val="000000"/>
                <w:sz w:val="44"/>
              </w:rPr>
            </w:pPr>
            <w:r>
              <w:rPr>
                <w:rFonts w:ascii="Times New Roman" w:eastAsia="宋体" w:cs="Times New Roman" w:hAnsi="Times New Roman"/>
                <w:b/>
                <w:bCs/>
                <w:color w:val="000000"/>
                <w:sz w:val="44"/>
              </w:rPr>
              <w:t>国有资本经营预算财政拨款支出决算表</w:t>
            </w:r>
          </w:p>
        </w:tc>
      </w:tr>
      <w:tr>
        <w:trPr>
          <w:trHeight w:val="284"/>
        </w:trPr>
        <w:tc>
          <w:tcPr>
            <w:tcW w:w="4860"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100"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100"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100" w:type="dxa"/>
            <w:gridSpan w:val="2"/>
            <w:tcBorders>
              <w:top w:val="nil"/>
              <w:left w:val="nil"/>
              <w:bottom w:val="nil"/>
              <w:right w:val="nil"/>
              <w:tl2br w:val="nil"/>
              <w:tr2bl w:val="nil"/>
            </w:tcBorders>
            <w:noWrap/>
            <w:vAlign w:val="center"/>
          </w:tcPr>
          <w:p>
            <w:pPr>
              <w:jc w:val="right"/>
              <w:rPr>
                <w:rFonts w:ascii="Times New Roman" w:eastAsia="宋体" w:cs="Times New Roman" w:hAnsi="Times New Roman"/>
                <w:sz w:val="24"/>
              </w:rPr>
            </w:pPr>
            <w:r>
              <w:rPr>
                <w:rFonts w:ascii="Times New Roman" w:eastAsia="宋体" w:cs="Times New Roman" w:hAnsi="Times New Roman"/>
                <w:sz w:val="24"/>
              </w:rPr>
              <w:t>公开08表</w:t>
            </w:r>
          </w:p>
        </w:tc>
      </w:tr>
      <w:tr>
        <w:trPr>
          <w:trHeight w:val="284"/>
        </w:trPr>
        <w:tc>
          <w:tcPr>
            <w:tcW w:w="4860" w:type="dxa"/>
            <w:gridSpan w:val="2"/>
            <w:tcBorders>
              <w:top w:val="nil"/>
              <w:left w:val="nil"/>
              <w:bottom w:val="single" w:sz="6" w:space="0" w:color="000000"/>
              <w:right w:val="nil"/>
              <w:tl2br w:val="nil"/>
              <w:tr2bl w:val="nil"/>
            </w:tcBorders>
            <w:noWrap/>
            <w:vAlign w:val="center"/>
          </w:tcPr>
          <w:p>
            <w:pPr>
              <w:ind w:firstLineChars="50" w:firstLine="120"/>
              <w:rPr>
                <w:rFonts w:ascii="Times New Roman" w:eastAsia="宋体" w:cs="Times New Roman" w:hAnsi="Times New Roman"/>
                <w:color w:val="000000"/>
                <w:sz w:val="24"/>
              </w:rPr>
            </w:pPr>
            <w:r>
              <w:rPr>
                <w:rFonts w:ascii="Times New Roman" w:eastAsia="宋体" w:cs="Times New Roman" w:hAnsi="Times New Roman"/>
                <w:color w:val="000000"/>
                <w:sz w:val="24"/>
              </w:rPr>
              <w:t>部门：中国电子口岸数据中心太原分中心</w:t>
            </w:r>
          </w:p>
        </w:tc>
        <w:tc>
          <w:tcPr>
            <w:tcW w:w="2100" w:type="dxa"/>
            <w:gridSpan w:val="2"/>
            <w:tcBorders>
              <w:top w:val="nil"/>
              <w:left w:val="nil"/>
              <w:bottom w:val="nil"/>
              <w:right w:val="nil"/>
              <w:tl2br w:val="nil"/>
              <w:tr2bl w:val="nil"/>
            </w:tcBorders>
            <w:noWrap/>
            <w:vAlign w:val="center"/>
          </w:tcPr>
          <w:p>
            <w:pPr>
              <w:jc w:val="center"/>
              <w:rPr>
                <w:rFonts w:ascii="Times New Roman" w:eastAsia="宋体" w:cs="Times New Roman" w:hAnsi="Times New Roman"/>
                <w:sz w:val="24"/>
              </w:rPr>
            </w:pPr>
          </w:p>
        </w:tc>
        <w:tc>
          <w:tcPr>
            <w:tcW w:w="2100"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100" w:type="dxa"/>
            <w:gridSpan w:val="2"/>
            <w:tcBorders>
              <w:top w:val="nil"/>
              <w:left w:val="nil"/>
              <w:bottom w:val="nil"/>
              <w:right w:val="nil"/>
              <w:tl2br w:val="nil"/>
              <w:tr2bl w:val="nil"/>
            </w:tcBorders>
            <w:noWrap/>
            <w:vAlign w:val="center"/>
          </w:tcPr>
          <w:p>
            <w:pPr>
              <w:jc w:val="right"/>
              <w:rPr>
                <w:rFonts w:ascii="Times New Roman" w:eastAsia="宋体" w:cs="Times New Roman" w:hAnsi="Times New Roman"/>
                <w:sz w:val="24"/>
              </w:rPr>
            </w:pPr>
            <w:r>
              <w:rPr>
                <w:rFonts w:ascii="Times New Roman" w:eastAsia="宋体" w:cs="Times New Roman" w:hAnsi="Times New Roman"/>
                <w:sz w:val="24"/>
              </w:rPr>
              <w:t>单位：万元</w:t>
            </w:r>
          </w:p>
        </w:tc>
      </w:tr>
      <w:tr>
        <w:trPr>
          <w:trHeight w:val="284"/>
        </w:trPr>
        <w:tc>
          <w:tcPr>
            <w:tcW w:w="48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项    目</w:t>
            </w:r>
          </w:p>
        </w:tc>
        <w:tc>
          <w:tcPr>
            <w:tcW w:w="6300" w:type="dxa"/>
            <w:gridSpan w:val="6"/>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本年支出</w:t>
            </w:r>
          </w:p>
        </w:tc>
      </w:tr>
      <w:tr>
        <w:trPr>
          <w:trHeight w:val="854"/>
        </w:trPr>
        <w:tc>
          <w:tcPr>
            <w:tcW w:w="22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科目代码</w:t>
            </w:r>
          </w:p>
        </w:tc>
        <w:tc>
          <w:tcPr>
            <w:tcW w:w="4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科目名称</w:t>
            </w:r>
          </w:p>
        </w:tc>
        <w:tc>
          <w:tcPr>
            <w:tcW w:w="2100"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合计</w:t>
            </w:r>
          </w:p>
        </w:tc>
        <w:tc>
          <w:tcPr>
            <w:tcW w:w="21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基本支出</w:t>
            </w:r>
          </w:p>
        </w:tc>
        <w:tc>
          <w:tcPr>
            <w:tcW w:w="2100"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项目支出</w:t>
            </w:r>
          </w:p>
        </w:tc>
      </w:tr>
      <w:tr>
        <w:trPr>
          <w:trHeight w:val="284"/>
        </w:trPr>
        <w:tc>
          <w:tcPr>
            <w:tcW w:w="486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栏次</w:t>
            </w:r>
          </w:p>
        </w:tc>
        <w:tc>
          <w:tcPr>
            <w:tcW w:w="21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21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c>
          <w:tcPr>
            <w:tcW w:w="2100" w:type="dxa"/>
            <w:gridSpan w:val="2"/>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w:t>
            </w:r>
          </w:p>
        </w:tc>
      </w:tr>
      <w:tr>
        <w:trPr>
          <w:trHeight w:val="284"/>
        </w:trPr>
        <w:tc>
          <w:tcPr>
            <w:tcW w:w="486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合计</w:t>
            </w:r>
          </w:p>
        </w:tc>
        <w:tc>
          <w:tcPr>
            <w:tcW w:w="210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210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210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trPr>
        <w:tc>
          <w:tcPr>
            <w:tcW w:w="2294" w:type="dxa"/>
            <w:tcBorders>
              <w:top w:val="nil"/>
              <w:left w:val="single" w:sz="6" w:space="0" w:color="000000"/>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4860" w:type="dxa"/>
            <w:tcBorders>
              <w:top w:val="nil"/>
              <w:left w:val="nil"/>
              <w:bottom w:val="single" w:sz="6" w:space="0" w:color="000000"/>
              <w:right w:val="single" w:sz="6" w:space="0" w:color="000000"/>
              <w:tl2br w:val="nil"/>
              <w:tr2bl w:val="nil"/>
            </w:tcBorders>
            <w:noWrap/>
            <w:vAlign w:val="center"/>
          </w:tcPr>
          <w:p>
            <w:pPr>
              <w:rPr>
                <w:rFonts w:ascii="宋体" w:cs="宋体" w:hAnsi="宋体" w:hint="eastAsia"/>
                <w:sz w:val="22"/>
                <w:szCs w:val="22"/>
              </w:rPr>
            </w:pPr>
          </w:p>
        </w:tc>
        <w:tc>
          <w:tcPr>
            <w:tcW w:w="210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210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c>
          <w:tcPr>
            <w:tcW w:w="2100" w:type="dxa"/>
            <w:gridSpan w:val="2"/>
            <w:tcBorders>
              <w:top w:val="nil"/>
              <w:left w:val="nil"/>
              <w:bottom w:val="single" w:sz="6" w:space="0" w:color="000000"/>
              <w:right w:val="single" w:sz="6" w:space="0" w:color="000000"/>
              <w:tl2br w:val="nil"/>
              <w:tr2bl w:val="nil"/>
            </w:tcBorders>
            <w:noWrap/>
            <w:vAlign w:val="center"/>
          </w:tcPr>
          <w:p>
            <w:pPr>
              <w:jc w:val="right"/>
              <w:rPr>
                <w:rFonts w:ascii="宋体" w:cs="宋体" w:hAnsi="宋体" w:hint="eastAsia"/>
                <w:sz w:val="22"/>
                <w:szCs w:val="22"/>
              </w:rPr>
            </w:pPr>
          </w:p>
        </w:tc>
      </w:tr>
      <w:tr>
        <w:trPr>
          <w:trHeight w:val="284"/>
        </w:trPr>
        <w:tc>
          <w:tcPr>
            <w:tcW w:w="11160" w:type="dxa"/>
            <w:gridSpan w:val="8"/>
            <w:tcBorders>
              <w:top w:val="nil"/>
              <w:left w:val="nil"/>
              <w:bottom w:val="nil"/>
              <w:right w:val="nil"/>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注：本表反映部门本年度国有资本经营预算财政拨款支出情况。</w:t>
            </w:r>
          </w:p>
        </w:tc>
      </w:tr>
      <w:tr>
        <w:trPr>
          <w:trHeight w:val="284"/>
          <w:gridAfter w:val="1"/>
          <w:wAfter w:w="2023" w:type="dxa"/>
        </w:trPr>
        <w:tc>
          <w:tcPr>
            <w:tcW w:w="6510" w:type="dxa"/>
            <w:gridSpan w:val="3"/>
            <w:tcBorders>
              <w:top w:val="nil"/>
              <w:left w:val="nil"/>
              <w:bottom w:val="nil"/>
              <w:right w:val="nil"/>
              <w:tl2br w:val="nil"/>
              <w:tr2bl w:val="nil"/>
            </w:tcBorders>
            <w:noWrap/>
            <w:vAlign w:val="center"/>
          </w:tcPr>
          <w:p>
            <w:pPr>
              <w:rPr>
                <w:rFonts w:ascii="宋体" w:cs="宋体" w:hAnsi="宋体" w:hint="eastAsia"/>
                <w:sz w:val="22"/>
                <w:szCs w:val="22"/>
              </w:rPr>
            </w:pPr>
          </w:p>
        </w:tc>
        <w:tc>
          <w:tcPr>
            <w:tcW w:w="2098" w:type="dxa"/>
            <w:gridSpan w:val="2"/>
            <w:tcBorders>
              <w:top w:val="nil"/>
              <w:left w:val="nil"/>
              <w:bottom w:val="nil"/>
              <w:right w:val="nil"/>
              <w:tl2br w:val="nil"/>
              <w:tr2bl w:val="nil"/>
            </w:tcBorders>
            <w:noWrap/>
            <w:vAlign w:val="center"/>
          </w:tcPr>
          <w:p>
            <w:pPr>
              <w:rPr>
                <w:rFonts w:ascii="宋体" w:cs="宋体" w:hAnsi="宋体" w:hint="eastAsia"/>
                <w:sz w:val="22"/>
                <w:szCs w:val="22"/>
              </w:rPr>
            </w:pPr>
          </w:p>
        </w:tc>
        <w:tc>
          <w:tcPr>
            <w:tcW w:w="2102" w:type="dxa"/>
            <w:gridSpan w:val="2"/>
            <w:tcBorders>
              <w:top w:val="nil"/>
              <w:left w:val="nil"/>
              <w:bottom w:val="nil"/>
              <w:right w:val="nil"/>
              <w:tl2br w:val="nil"/>
              <w:tr2bl w:val="nil"/>
            </w:tcBorders>
            <w:noWrap/>
            <w:vAlign w:val="center"/>
          </w:tcPr>
          <w:p>
            <w:pPr>
              <w:jc w:val="right"/>
              <w:rPr>
                <w:rFonts w:ascii="宋体" w:cs="宋体" w:hAnsi="宋体" w:hint="eastAsia"/>
                <w:sz w:val="22"/>
                <w:szCs w:val="22"/>
              </w:rPr>
            </w:pPr>
          </w:p>
        </w:tc>
      </w:tr>
      <w:tr>
        <w:trPr>
          <w:trHeight w:val="284"/>
          <w:gridAfter w:val="1"/>
          <w:wAfter w:w="2023" w:type="dxa"/>
        </w:trPr>
        <w:tc>
          <w:tcPr>
            <w:tcW w:w="2294" w:type="dxa"/>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4937" w:type="dxa"/>
            <w:gridSpan w:val="2"/>
            <w:tcBorders>
              <w:top w:val="nil"/>
              <w:left w:val="nil"/>
              <w:bottom w:val="nil"/>
              <w:right w:val="nil"/>
              <w:tl2br w:val="nil"/>
              <w:tr2bl w:val="nil"/>
            </w:tcBorders>
            <w:noWrap/>
            <w:vAlign w:val="center"/>
          </w:tcPr>
          <w:p>
            <w:pPr>
              <w:rPr>
                <w:rFonts w:ascii="Times New Roman" w:eastAsia="宋体" w:cs="Times New Roman" w:hAnsi="Times New Roman"/>
                <w:sz w:val="24"/>
              </w:rPr>
            </w:pPr>
          </w:p>
        </w:tc>
        <w:tc>
          <w:tcPr>
            <w:tcW w:w="2098" w:type="dxa"/>
            <w:gridSpan w:val="2"/>
            <w:tcBorders>
              <w:top w:val="nil"/>
              <w:left w:val="nil"/>
              <w:bottom w:val="nil"/>
              <w:right w:val="nil"/>
              <w:tl2br w:val="nil"/>
              <w:tr2bl w:val="nil"/>
            </w:tcBorders>
            <w:noWrap/>
            <w:vAlign w:val="center"/>
          </w:tcPr>
          <w:p>
            <w:pPr>
              <w:jc w:val="center"/>
              <w:rPr>
                <w:rFonts w:ascii="Times New Roman" w:eastAsia="宋体" w:cs="Times New Roman" w:hAnsi="Times New Roman"/>
                <w:sz w:val="24"/>
              </w:rPr>
            </w:pPr>
          </w:p>
        </w:tc>
        <w:tc>
          <w:tcPr>
            <w:tcW w:w="2102" w:type="dxa"/>
            <w:gridSpan w:val="2"/>
            <w:tcBorders>
              <w:top w:val="nil"/>
              <w:left w:val="nil"/>
              <w:bottom w:val="nil"/>
              <w:right w:val="nil"/>
              <w:tl2br w:val="nil"/>
              <w:tr2bl w:val="nil"/>
            </w:tcBorders>
            <w:noWrap/>
            <w:vAlign w:val="center"/>
          </w:tcPr>
          <w:p>
            <w:pPr>
              <w:jc w:val="center"/>
              <w:rPr>
                <w:rFonts w:ascii="Times New Roman" w:eastAsia="宋体" w:cs="Times New Roman" w:hAnsi="Times New Roman"/>
                <w:sz w:val="24"/>
              </w:rPr>
            </w:pPr>
          </w:p>
        </w:tc>
      </w:tr>
    </w:tbl>
    <w:p>
      <w:pPr>
        <w:pStyle w:val="2"/>
        <w:keepNext w:val="0"/>
        <w:keepLines w:val="0"/>
        <w:widowControl/>
        <w:spacing w:before="299" w:after="299"/>
        <w:jc w:val="left"/>
        <w:rPr>
          <w:rFonts w:ascii="Times New Roman" w:eastAsia="SimSun" w:hAnsi="Times New Roman"/>
          <w:color w:val="auto"/>
          <w:kern w:val="0"/>
          <w:sz w:val="36"/>
          <w:szCs w:val="36"/>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3"/>
        <w:gridCol w:w="1726"/>
        <w:gridCol w:w="855"/>
        <w:gridCol w:w="1200"/>
        <w:gridCol w:w="1336"/>
        <w:gridCol w:w="883"/>
        <w:gridCol w:w="870"/>
        <w:gridCol w:w="1065"/>
        <w:gridCol w:w="765"/>
        <w:gridCol w:w="900"/>
        <w:gridCol w:w="2002"/>
        <w:gridCol w:w="1320"/>
      </w:tblGrid>
      <w:tr>
        <w:trPr>
          <w:trHeight w:val="539"/>
        </w:trPr>
        <w:tc>
          <w:tcPr>
            <w:tcW w:w="12420" w:type="dxa"/>
            <w:gridSpan w:val="12"/>
            <w:tcBorders>
              <w:top w:val="nil"/>
              <w:left w:val="nil"/>
              <w:bottom w:val="nil"/>
              <w:right w:val="nil"/>
              <w:tl2br w:val="nil"/>
              <w:tr2bl w:val="nil"/>
            </w:tcBorders>
            <w:noWrap/>
            <w:vAlign w:val="center"/>
          </w:tcPr>
          <w:p>
            <w:pPr>
              <w:ind w:firstLineChars="650" w:firstLine="2860"/>
              <w:jc w:val="center"/>
              <w:rPr>
                <w:rFonts w:ascii="宋体" w:cs="宋体" w:hAnsi="宋体" w:hint="eastAsia"/>
                <w:b/>
                <w:bCs/>
                <w:color w:val="000000"/>
                <w:sz w:val="44"/>
              </w:rPr>
            </w:pPr>
          </w:p>
          <w:p>
            <w:pPr>
              <w:ind w:left="0"/>
              <w:jc w:val="center"/>
              <w:rPr>
                <w:rFonts w:ascii="宋体" w:cs="宋体" w:hAnsi="宋体" w:hint="eastAsia"/>
                <w:b/>
                <w:bCs/>
                <w:color w:val="000000"/>
                <w:sz w:val="44"/>
              </w:rPr>
            </w:pPr>
            <w:r>
              <w:rPr>
                <w:rFonts w:ascii="宋体" w:cs="宋体" w:hAnsi="宋体" w:hint="eastAsia"/>
                <w:b/>
                <w:bCs/>
                <w:color w:val="000000"/>
                <w:sz w:val="44"/>
              </w:rPr>
              <w:t>财政拨款“三公经费”支出决算表</w:t>
            </w:r>
          </w:p>
        </w:tc>
      </w:tr>
      <w:tr>
        <w:trPr>
          <w:trHeight w:val="284"/>
        </w:trPr>
        <w:tc>
          <w:tcPr>
            <w:tcW w:w="1875" w:type="dxa"/>
            <w:gridSpan w:val="2"/>
            <w:tcBorders>
              <w:top w:val="nil"/>
              <w:left w:val="nil"/>
              <w:bottom w:val="nil"/>
              <w:right w:val="nil"/>
              <w:tl2br w:val="nil"/>
              <w:tr2bl w:val="nil"/>
            </w:tcBorders>
            <w:noWrap/>
            <w:vAlign w:val="center"/>
          </w:tcPr>
          <w:p>
            <w:pPr>
              <w:rPr>
                <w:rFonts w:ascii="宋体" w:cs="宋体" w:hAnsi="宋体" w:hint="eastAsia"/>
                <w:sz w:val="22"/>
                <w:szCs w:val="22"/>
              </w:rPr>
            </w:pPr>
          </w:p>
        </w:tc>
        <w:tc>
          <w:tcPr>
            <w:tcW w:w="855"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1200"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1336"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883"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870"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1065"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765"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900" w:type="dxa"/>
            <w:tcBorders>
              <w:top w:val="nil"/>
              <w:left w:val="nil"/>
              <w:bottom w:val="nil"/>
              <w:right w:val="nil"/>
              <w:tl2br w:val="nil"/>
              <w:tr2bl w:val="nil"/>
            </w:tcBorders>
            <w:noWrap/>
            <w:vAlign w:val="center"/>
          </w:tcPr>
          <w:p>
            <w:pPr>
              <w:rPr>
                <w:rFonts w:ascii="宋体" w:cs="宋体" w:hAnsi="宋体" w:hint="eastAsia"/>
                <w:sz w:val="22"/>
                <w:szCs w:val="22"/>
              </w:rPr>
            </w:pPr>
          </w:p>
        </w:tc>
        <w:tc>
          <w:tcPr>
            <w:tcW w:w="2002" w:type="dxa"/>
            <w:tcBorders>
              <w:top w:val="nil"/>
              <w:left w:val="nil"/>
              <w:bottom w:val="nil"/>
              <w:right w:val="nil"/>
              <w:tl2br w:val="nil"/>
              <w:tr2bl w:val="nil"/>
            </w:tcBorders>
            <w:noWrap/>
            <w:vAlign w:val="center"/>
          </w:tcPr>
          <w:p>
            <w:pPr>
              <w:rPr>
                <w:rFonts w:ascii="宋体" w:cs="宋体" w:hAnsi="宋体" w:hint="eastAsia"/>
                <w:sz w:val="24"/>
              </w:rPr>
            </w:pPr>
          </w:p>
        </w:tc>
        <w:tc>
          <w:tcPr>
            <w:tcW w:w="1320" w:type="dxa"/>
            <w:tcBorders>
              <w:top w:val="nil"/>
              <w:left w:val="nil"/>
              <w:bottom w:val="nil"/>
              <w:right w:val="nil"/>
              <w:tl2br w:val="nil"/>
              <w:tr2bl w:val="nil"/>
            </w:tcBorders>
            <w:noWrap/>
            <w:vAlign w:val="center"/>
          </w:tcPr>
          <w:p>
            <w:pPr>
              <w:jc w:val="right"/>
              <w:rPr>
                <w:rFonts w:ascii="宋体" w:cs="宋体" w:hAnsi="宋体" w:hint="eastAsia"/>
                <w:sz w:val="24"/>
              </w:rPr>
            </w:pPr>
            <w:r>
              <w:rPr>
                <w:rFonts w:ascii="宋体" w:cs="宋体" w:hAnsi="宋体" w:hint="eastAsia"/>
                <w:sz w:val="24"/>
              </w:rPr>
              <w:t>公开09表</w:t>
            </w:r>
          </w:p>
        </w:tc>
      </w:tr>
      <w:tr>
        <w:trPr>
          <w:trHeight w:val="284"/>
        </w:trPr>
        <w:tc>
          <w:tcPr>
            <w:tcW w:w="5265" w:type="dxa"/>
            <w:gridSpan w:val="5"/>
            <w:tcBorders>
              <w:top w:val="nil"/>
              <w:left w:val="nil"/>
              <w:bottom w:val="single" w:sz="6" w:space="0" w:color="000000"/>
              <w:right w:val="nil"/>
              <w:tl2br w:val="nil"/>
              <w:tr2bl w:val="nil"/>
            </w:tcBorders>
            <w:noWrap/>
            <w:vAlign w:val="center"/>
          </w:tcPr>
          <w:p>
            <w:pPr>
              <w:rPr>
                <w:rFonts w:ascii="宋体" w:cs="宋体" w:hAnsi="宋体" w:hint="eastAsia"/>
                <w:color w:val="000000"/>
                <w:sz w:val="24"/>
              </w:rPr>
            </w:pPr>
            <w:r>
              <w:rPr>
                <w:rFonts w:ascii="宋体" w:cs="宋体" w:hAnsi="宋体" w:hint="eastAsia"/>
                <w:color w:val="000000"/>
                <w:sz w:val="24"/>
              </w:rPr>
              <w:t>部门：中国电子口岸数据中心太原分中心</w:t>
            </w:r>
          </w:p>
        </w:tc>
        <w:tc>
          <w:tcPr>
            <w:tcW w:w="883" w:type="dxa"/>
            <w:tcBorders>
              <w:top w:val="nil"/>
              <w:left w:val="nil"/>
              <w:bottom w:val="nil"/>
              <w:right w:val="nil"/>
              <w:tl2br w:val="nil"/>
              <w:tr2bl w:val="nil"/>
            </w:tcBorders>
            <w:noWrap/>
            <w:vAlign w:val="center"/>
          </w:tcPr>
          <w:p>
            <w:pPr>
              <w:rPr>
                <w:rFonts w:ascii="宋体" w:cs="宋体" w:hAnsi="宋体" w:hint="eastAsia"/>
                <w:sz w:val="24"/>
              </w:rPr>
            </w:pPr>
          </w:p>
        </w:tc>
        <w:tc>
          <w:tcPr>
            <w:tcW w:w="870" w:type="dxa"/>
            <w:tcBorders>
              <w:top w:val="nil"/>
              <w:left w:val="nil"/>
              <w:bottom w:val="nil"/>
              <w:right w:val="nil"/>
              <w:tl2br w:val="nil"/>
              <w:tr2bl w:val="nil"/>
            </w:tcBorders>
            <w:noWrap/>
            <w:vAlign w:val="center"/>
          </w:tcPr>
          <w:p>
            <w:pPr>
              <w:jc w:val="center"/>
              <w:rPr>
                <w:rFonts w:ascii="宋体" w:cs="宋体" w:hAnsi="宋体" w:hint="eastAsia"/>
                <w:sz w:val="24"/>
              </w:rPr>
            </w:pPr>
          </w:p>
        </w:tc>
        <w:tc>
          <w:tcPr>
            <w:tcW w:w="1065" w:type="dxa"/>
            <w:tcBorders>
              <w:top w:val="nil"/>
              <w:left w:val="nil"/>
              <w:bottom w:val="nil"/>
              <w:right w:val="nil"/>
              <w:tl2br w:val="nil"/>
              <w:tr2bl w:val="nil"/>
            </w:tcBorders>
            <w:noWrap/>
            <w:vAlign w:val="center"/>
          </w:tcPr>
          <w:p>
            <w:pPr>
              <w:rPr>
                <w:rFonts w:ascii="宋体" w:cs="宋体" w:hAnsi="宋体" w:hint="eastAsia"/>
                <w:sz w:val="24"/>
              </w:rPr>
            </w:pPr>
          </w:p>
        </w:tc>
        <w:tc>
          <w:tcPr>
            <w:tcW w:w="765" w:type="dxa"/>
            <w:tcBorders>
              <w:top w:val="nil"/>
              <w:left w:val="nil"/>
              <w:bottom w:val="nil"/>
              <w:right w:val="nil"/>
              <w:tl2br w:val="nil"/>
              <w:tr2bl w:val="nil"/>
            </w:tcBorders>
            <w:noWrap/>
            <w:vAlign w:val="center"/>
          </w:tcPr>
          <w:p>
            <w:pPr>
              <w:rPr>
                <w:rFonts w:ascii="宋体" w:cs="宋体" w:hAnsi="宋体" w:hint="eastAsia"/>
                <w:sz w:val="24"/>
              </w:rPr>
            </w:pPr>
          </w:p>
        </w:tc>
        <w:tc>
          <w:tcPr>
            <w:tcW w:w="900" w:type="dxa"/>
            <w:tcBorders>
              <w:top w:val="nil"/>
              <w:left w:val="nil"/>
              <w:bottom w:val="nil"/>
              <w:right w:val="nil"/>
              <w:tl2br w:val="nil"/>
              <w:tr2bl w:val="nil"/>
            </w:tcBorders>
            <w:noWrap/>
            <w:vAlign w:val="center"/>
          </w:tcPr>
          <w:p>
            <w:pPr>
              <w:rPr>
                <w:rFonts w:ascii="宋体" w:cs="宋体" w:hAnsi="宋体" w:hint="eastAsia"/>
                <w:sz w:val="24"/>
              </w:rPr>
            </w:pPr>
          </w:p>
        </w:tc>
        <w:tc>
          <w:tcPr>
            <w:tcW w:w="2002" w:type="dxa"/>
            <w:tcBorders>
              <w:top w:val="nil"/>
              <w:left w:val="nil"/>
              <w:bottom w:val="nil"/>
              <w:right w:val="nil"/>
              <w:tl2br w:val="nil"/>
              <w:tr2bl w:val="nil"/>
            </w:tcBorders>
            <w:noWrap/>
            <w:vAlign w:val="center"/>
          </w:tcPr>
          <w:p>
            <w:pPr>
              <w:rPr>
                <w:rFonts w:ascii="宋体" w:cs="宋体" w:hAnsi="宋体" w:hint="eastAsia"/>
                <w:sz w:val="24"/>
              </w:rPr>
            </w:pPr>
          </w:p>
        </w:tc>
        <w:tc>
          <w:tcPr>
            <w:tcW w:w="1320" w:type="dxa"/>
            <w:tcBorders>
              <w:top w:val="nil"/>
              <w:left w:val="nil"/>
              <w:bottom w:val="nil"/>
              <w:right w:val="nil"/>
              <w:tl2br w:val="nil"/>
              <w:tr2bl w:val="nil"/>
            </w:tcBorders>
            <w:noWrap/>
            <w:vAlign w:val="center"/>
          </w:tcPr>
          <w:p>
            <w:pPr>
              <w:jc w:val="right"/>
              <w:rPr>
                <w:rFonts w:ascii="宋体" w:cs="宋体" w:hAnsi="宋体" w:hint="eastAsia"/>
                <w:sz w:val="24"/>
              </w:rPr>
            </w:pPr>
            <w:r>
              <w:rPr>
                <w:rFonts w:ascii="宋体" w:cs="宋体" w:hAnsi="宋体" w:hint="eastAsia"/>
                <w:sz w:val="24"/>
              </w:rPr>
              <w:t>单位：万元</w:t>
            </w:r>
          </w:p>
        </w:tc>
      </w:tr>
      <w:tr>
        <w:trPr>
          <w:trHeight w:val="284"/>
        </w:trPr>
        <w:tc>
          <w:tcPr>
            <w:tcW w:w="6225"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预算数</w:t>
            </w:r>
          </w:p>
        </w:tc>
        <w:tc>
          <w:tcPr>
            <w:tcW w:w="6195" w:type="dxa"/>
            <w:gridSpan w:val="6"/>
            <w:tcBorders>
              <w:top w:val="single" w:sz="6" w:space="0" w:color="000000"/>
              <w:left w:val="nil"/>
              <w:bottom w:val="single" w:sz="6" w:space="0" w:color="000000"/>
              <w:right w:val="nil"/>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决算数</w:t>
            </w:r>
          </w:p>
        </w:tc>
      </w:tr>
      <w:tr>
        <w:trPr>
          <w:trHeight w:val="494"/>
        </w:trPr>
        <w:tc>
          <w:tcPr>
            <w:tcW w:w="533" w:type="dxa"/>
            <w:vMerge w:val="restart"/>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合计</w:t>
            </w:r>
          </w:p>
        </w:tc>
        <w:tc>
          <w:tcPr>
            <w:tcW w:w="1726" w:type="dxa"/>
            <w:vMerge w:val="restart"/>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因公出国 （境）费</w:t>
            </w:r>
          </w:p>
        </w:tc>
        <w:tc>
          <w:tcPr>
            <w:tcW w:w="3390" w:type="dxa"/>
            <w:gridSpan w:val="3"/>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公务用车购置及运行维护费</w:t>
            </w:r>
          </w:p>
        </w:tc>
        <w:tc>
          <w:tcPr>
            <w:tcW w:w="883" w:type="dxa"/>
            <w:vMerge w:val="restart"/>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公务接待费</w:t>
            </w:r>
          </w:p>
        </w:tc>
        <w:tc>
          <w:tcPr>
            <w:tcW w:w="870" w:type="dxa"/>
            <w:vMerge w:val="restart"/>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合计</w:t>
            </w:r>
          </w:p>
        </w:tc>
        <w:tc>
          <w:tcPr>
            <w:tcW w:w="1065" w:type="dxa"/>
            <w:vMerge w:val="restart"/>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因公出国 （境）费</w:t>
            </w:r>
          </w:p>
        </w:tc>
        <w:tc>
          <w:tcPr>
            <w:tcW w:w="2940" w:type="dxa"/>
            <w:gridSpan w:val="3"/>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公务用车购置及运行维护费</w:t>
            </w:r>
          </w:p>
        </w:tc>
        <w:tc>
          <w:tcPr>
            <w:tcW w:w="1320" w:type="dxa"/>
            <w:vMerge w:val="restart"/>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公务接待费</w:t>
            </w:r>
          </w:p>
        </w:tc>
      </w:tr>
      <w:tr>
        <w:trPr>
          <w:trHeight w:val="899"/>
        </w:trPr>
        <w:tc>
          <w:tcPr>
            <w:tcW w:w="533" w:type="dxa"/>
            <w:vMerge/>
            <w:tcBorders>
              <w:top w:val="nil"/>
              <w:left w:val="single" w:sz="6" w:space="0" w:color="000000"/>
              <w:bottom w:val="single" w:sz="6" w:space="0" w:color="000000"/>
              <w:right w:val="single" w:sz="6" w:space="0" w:color="000000"/>
              <w:tl2br w:val="nil"/>
              <w:tr2bl w:val="nil"/>
            </w:tcBorders>
            <w:noWrap/>
            <w:vAlign w:val="center"/>
          </w:tcPr>
          <w:p/>
        </w:tc>
        <w:tc>
          <w:tcPr>
            <w:tcW w:w="1726" w:type="dxa"/>
            <w:vMerge/>
            <w:tcBorders>
              <w:top w:val="nil"/>
              <w:left w:val="nil"/>
              <w:bottom w:val="single" w:sz="6" w:space="0" w:color="000000"/>
              <w:right w:val="single" w:sz="6" w:space="0" w:color="000000"/>
              <w:tl2br w:val="nil"/>
              <w:tr2bl w:val="nil"/>
            </w:tcBorders>
            <w:noWrap/>
            <w:vAlign w:val="center"/>
          </w:tcPr>
          <w:p/>
        </w:tc>
        <w:tc>
          <w:tcPr>
            <w:tcW w:w="85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小计</w:t>
            </w:r>
          </w:p>
        </w:tc>
        <w:tc>
          <w:tcPr>
            <w:tcW w:w="120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公务用车购置费</w:t>
            </w:r>
          </w:p>
        </w:tc>
        <w:tc>
          <w:tcPr>
            <w:tcW w:w="1336"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公务用车运行维护费</w:t>
            </w:r>
          </w:p>
        </w:tc>
        <w:tc>
          <w:tcPr>
            <w:tcW w:w="883" w:type="dxa"/>
            <w:vMerge/>
            <w:tcBorders>
              <w:top w:val="nil"/>
              <w:left w:val="nil"/>
              <w:bottom w:val="single" w:sz="6" w:space="0" w:color="000000"/>
              <w:right w:val="single" w:sz="6" w:space="0" w:color="000000"/>
              <w:tl2br w:val="nil"/>
              <w:tr2bl w:val="nil"/>
            </w:tcBorders>
            <w:noWrap/>
            <w:vAlign w:val="center"/>
          </w:tcPr>
          <w:p/>
        </w:tc>
        <w:tc>
          <w:tcPr>
            <w:tcW w:w="870" w:type="dxa"/>
            <w:vMerge/>
            <w:tcBorders>
              <w:top w:val="nil"/>
              <w:left w:val="nil"/>
              <w:bottom w:val="single" w:sz="6" w:space="0" w:color="000000"/>
              <w:right w:val="single" w:sz="6" w:space="0" w:color="000000"/>
              <w:tl2br w:val="nil"/>
              <w:tr2bl w:val="nil"/>
            </w:tcBorders>
            <w:noWrap/>
            <w:vAlign w:val="center"/>
          </w:tcPr>
          <w:p/>
        </w:tc>
        <w:tc>
          <w:tcPr>
            <w:tcW w:w="1065" w:type="dxa"/>
            <w:vMerge/>
            <w:tcBorders>
              <w:top w:val="nil"/>
              <w:left w:val="nil"/>
              <w:bottom w:val="single" w:sz="6" w:space="0" w:color="000000"/>
              <w:right w:val="single" w:sz="6" w:space="0" w:color="000000"/>
              <w:tl2br w:val="nil"/>
              <w:tr2bl w:val="nil"/>
            </w:tcBorders>
            <w:noWrap/>
            <w:vAlign w:val="center"/>
          </w:tcP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小计</w:t>
            </w:r>
          </w:p>
        </w:tc>
        <w:tc>
          <w:tcPr>
            <w:tcW w:w="90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公务用车购置费</w:t>
            </w:r>
          </w:p>
        </w:tc>
        <w:tc>
          <w:tcPr>
            <w:tcW w:w="200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公务用车运行维护费</w:t>
            </w:r>
          </w:p>
        </w:tc>
        <w:tc>
          <w:tcPr>
            <w:tcW w:w="1320" w:type="dxa"/>
            <w:vMerge/>
            <w:tcBorders>
              <w:top w:val="nil"/>
              <w:left w:val="nil"/>
              <w:bottom w:val="single" w:sz="6" w:space="0" w:color="000000"/>
              <w:right w:val="single" w:sz="6" w:space="0" w:color="000000"/>
              <w:tl2br w:val="nil"/>
              <w:tr2bl w:val="nil"/>
            </w:tcBorders>
            <w:noWrap/>
            <w:vAlign w:val="center"/>
          </w:tcPr>
          <w:p/>
        </w:tc>
      </w:tr>
      <w:tr>
        <w:trPr>
          <w:trHeight w:val="284"/>
        </w:trPr>
        <w:tc>
          <w:tcPr>
            <w:tcW w:w="533"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w:t>
            </w:r>
          </w:p>
        </w:tc>
        <w:tc>
          <w:tcPr>
            <w:tcW w:w="1726"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2</w:t>
            </w:r>
          </w:p>
        </w:tc>
        <w:tc>
          <w:tcPr>
            <w:tcW w:w="85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3</w:t>
            </w:r>
          </w:p>
        </w:tc>
        <w:tc>
          <w:tcPr>
            <w:tcW w:w="120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4</w:t>
            </w:r>
          </w:p>
        </w:tc>
        <w:tc>
          <w:tcPr>
            <w:tcW w:w="1336"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5</w:t>
            </w:r>
          </w:p>
        </w:tc>
        <w:tc>
          <w:tcPr>
            <w:tcW w:w="883"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6</w:t>
            </w:r>
          </w:p>
        </w:tc>
        <w:tc>
          <w:tcPr>
            <w:tcW w:w="87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7</w:t>
            </w:r>
          </w:p>
        </w:tc>
        <w:tc>
          <w:tcPr>
            <w:tcW w:w="106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8</w:t>
            </w: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9</w:t>
            </w:r>
          </w:p>
        </w:tc>
        <w:tc>
          <w:tcPr>
            <w:tcW w:w="90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10</w:t>
            </w:r>
          </w:p>
        </w:tc>
        <w:tc>
          <w:tcPr>
            <w:tcW w:w="200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11</w:t>
            </w:r>
          </w:p>
        </w:tc>
        <w:tc>
          <w:tcPr>
            <w:tcW w:w="132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color w:val="000000"/>
                <w:sz w:val="22"/>
                <w:szCs w:val="22"/>
              </w:rPr>
            </w:pPr>
            <w:r>
              <w:rPr>
                <w:rFonts w:ascii="宋体" w:cs="宋体" w:hAnsi="宋体" w:hint="eastAsia"/>
                <w:color w:val="000000"/>
                <w:sz w:val="22"/>
                <w:szCs w:val="22"/>
              </w:rPr>
              <w:t>12</w:t>
            </w:r>
          </w:p>
        </w:tc>
      </w:tr>
      <w:tr>
        <w:trPr>
          <w:trHeight w:val="284"/>
        </w:trPr>
        <w:tc>
          <w:tcPr>
            <w:tcW w:w="533"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1726"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85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120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1336"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883"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87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106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765"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90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2002"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c>
          <w:tcPr>
            <w:tcW w:w="1320" w:type="dxa"/>
            <w:tcBorders>
              <w:top w:val="nil"/>
              <w:left w:val="nil"/>
              <w:bottom w:val="single" w:sz="6" w:space="0" w:color="000000"/>
              <w:right w:val="single" w:sz="6" w:space="0" w:color="000000"/>
              <w:tl2br w:val="nil"/>
              <w:tr2bl w:val="nil"/>
            </w:tcBorders>
            <w:noWrap/>
            <w:vAlign w:val="center"/>
          </w:tcPr>
          <w:p>
            <w:pPr>
              <w:jc w:val="center"/>
              <w:rPr>
                <w:rFonts w:ascii="宋体" w:cs="宋体" w:hAnsi="宋体" w:hint="eastAsia"/>
                <w:sz w:val="22"/>
                <w:szCs w:val="22"/>
              </w:rPr>
            </w:pPr>
          </w:p>
        </w:tc>
      </w:tr>
      <w:tr>
        <w:trPr>
          <w:trHeight w:val="884"/>
        </w:trPr>
        <w:tc>
          <w:tcPr>
            <w:tcW w:w="12420" w:type="dxa"/>
            <w:gridSpan w:val="12"/>
            <w:tcBorders>
              <w:top w:val="nil"/>
              <w:left w:val="nil"/>
              <w:bottom w:val="nil"/>
              <w:right w:val="nil"/>
              <w:tl2br w:val="nil"/>
              <w:tr2bl w:val="nil"/>
            </w:tcBorders>
            <w:noWrap/>
            <w:vAlign w:val="center"/>
          </w:tcPr>
          <w:p>
            <w:pPr>
              <w:rPr>
                <w:rFonts w:ascii="宋体" w:cs="宋体" w:hAnsi="宋体" w:hint="eastAsia"/>
                <w:color w:val="000000"/>
                <w:sz w:val="22"/>
                <w:szCs w:val="22"/>
              </w:rPr>
            </w:pPr>
            <w:r>
              <w:rPr>
                <w:rFonts w:ascii="宋体" w:cs="宋体" w:hAnsi="宋体" w:hint="eastAsia"/>
                <w:color w:val="000000"/>
                <w:sz w:val="22"/>
                <w:szCs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suppressLineNumbers w:val="0"/>
        <w:suppressAutoHyphens w:val="0"/>
        <w:rPr>
          <w:rFonts w:ascii="Times New Roman" w:cs="Times New Roman" w:hAnsi="Times New Roman"/>
        </w:rPr>
      </w:pPr>
    </w:p>
    <w:p>
      <w:pPr>
        <w:pStyle w:val="32"/>
        <w:rPr>
          <w:rFonts w:eastAsia="方正仿宋_GBK"/>
          <w:sz w:val="32"/>
          <w:szCs w:val="32"/>
        </w:rPr>
      </w:pPr>
      <w:r>
        <w:rPr>
          <w:rFonts w:eastAsia="方正仿宋_GBK"/>
          <w:sz w:val="32"/>
          <w:szCs w:val="32"/>
        </w:rPr>
        <w:t>说明：</w:t>
      </w:r>
      <w:r>
        <w:rPr>
          <w:rFonts w:eastAsia="方正仿宋_GBK"/>
          <w:kern w:val="0"/>
          <w:sz w:val="32"/>
          <w:szCs w:val="32"/>
        </w:rPr>
        <w:t>中国电子口岸数据中心太原分中心2025年度</w:t>
      </w:r>
      <w:r>
        <w:rPr>
          <w:rFonts w:eastAsia="方正仿宋_GBK"/>
          <w:sz w:val="32"/>
          <w:szCs w:val="32"/>
        </w:rPr>
        <w:t>没有财政拨款收入，也没有使用财政拨款安排的支出，故公开04表、05表、06表、07表、08表、09表均无数据。</w:t>
      </w: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pStyle w:val="2"/>
        <w:keepNext w:val="0"/>
        <w:keepLines w:val="0"/>
        <w:widowControl/>
        <w:spacing w:before="299" w:after="299"/>
        <w:jc w:val="left"/>
        <w:rPr>
          <w:rFonts w:ascii="Times New Roman" w:eastAsia="SimSun" w:hAnsi="Times New Roman"/>
          <w:color w:val="auto"/>
          <w:kern w:val="0"/>
          <w:sz w:val="36"/>
          <w:szCs w:val="36"/>
        </w:rPr>
        <w:sectPr>
          <w:pgSz w:w="16838" w:h="11906" w:orient="landscape"/>
          <w:pgMar w:top="1440" w:right="1800" w:bottom="1440" w:left="1800" w:header="851" w:footer="992" w:gutter="0"/>
          <w:docGrid w:type="lines" w:linePitch="312" w:charSpace="0"/>
        </w:sect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ind w:firstLineChars="100" w:firstLine="440"/>
        <w:jc w:val="left"/>
        <w:rPr>
          <w:rFonts w:ascii="Times New Roman" w:eastAsia="方正黑体_GBK" w:hAnsi="Times New Roman"/>
          <w:color w:val="auto"/>
          <w:kern w:val="0"/>
          <w:sz w:val="44"/>
          <w:szCs w:val="44"/>
        </w:rPr>
      </w:pPr>
    </w:p>
    <w:p>
      <w:pPr>
        <w:pStyle w:val="2"/>
        <w:keepNext w:val="0"/>
        <w:keepLines w:val="0"/>
        <w:widowControl/>
        <w:spacing w:before="299" w:after="299"/>
        <w:ind w:left="0" w:firstLineChars="600" w:firstLine="3120"/>
        <w:jc w:val="left"/>
        <w:rPr>
          <w:rFonts w:ascii="方正黑体_GBK" w:eastAsia="方正黑体_GBK" w:cs="方正黑体_GBK" w:hAnsi="Times New Roman" w:hint="eastAsia"/>
          <w:b w:val="0"/>
          <w:bCs w:val="0"/>
          <w:color w:val="auto"/>
          <w:kern w:val="0"/>
          <w:sz w:val="52"/>
          <w:szCs w:val="52"/>
        </w:rPr>
      </w:pPr>
      <w:r>
        <w:rPr>
          <w:rFonts w:ascii="方正黑体_GBK" w:eastAsia="方正黑体_GBK" w:cs="方正黑体_GBK" w:hAnsi="Times New Roman" w:hint="eastAsia"/>
          <w:b w:val="0"/>
          <w:bCs w:val="0"/>
          <w:color w:val="auto"/>
          <w:kern w:val="0"/>
          <w:sz w:val="52"/>
          <w:szCs w:val="52"/>
        </w:rPr>
        <w:t xml:space="preserve">第三部分 </w:t>
      </w:r>
    </w:p>
    <w:p>
      <w:pPr>
        <w:pStyle w:val="2"/>
        <w:keepNext w:val="0"/>
        <w:keepLines w:val="0"/>
        <w:widowControl/>
        <w:spacing w:before="299" w:after="299"/>
        <w:ind w:left="0" w:firstLineChars="200" w:firstLine="1040"/>
        <w:jc w:val="left"/>
        <w:rPr>
          <w:rFonts w:ascii="方正黑体_GBK" w:eastAsia="方正黑体_GBK" w:cs="方正黑体_GBK" w:hAnsi="Times New Roman" w:hint="eastAsia"/>
          <w:b w:val="0"/>
          <w:bCs w:val="0"/>
          <w:kern w:val="0"/>
          <w:sz w:val="52"/>
          <w:szCs w:val="52"/>
        </w:rPr>
      </w:pPr>
      <w:r>
        <w:rPr>
          <w:rFonts w:ascii="方正黑体_GBK" w:eastAsia="方正黑体_GBK" w:cs="方正黑体_GBK" w:hAnsi="Times New Roman" w:hint="eastAsia"/>
          <w:b w:val="0"/>
          <w:bCs w:val="0"/>
          <w:color w:val="auto"/>
          <w:kern w:val="0"/>
          <w:sz w:val="52"/>
          <w:szCs w:val="52"/>
        </w:rPr>
        <w:t>2025年度部门决算情况说明</w:t>
      </w: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281" w:after="281"/>
        <w:jc w:val="left"/>
        <w:rPr>
          <w:rFonts w:ascii="Times New Roman" w:eastAsia="SimSun" w:hAnsi="Times New Roman"/>
          <w:color w:val="auto"/>
          <w:kern w:val="0"/>
          <w:sz w:val="28"/>
          <w:szCs w:val="28"/>
        </w:rPr>
      </w:pPr>
    </w:p>
    <w:p>
      <w:pPr>
        <w:pStyle w:val="3"/>
        <w:keepNext w:val="0"/>
        <w:keepLines w:val="0"/>
        <w:widowControl/>
        <w:spacing w:before="0" w:line="560" w:lineRule="exact"/>
        <w:ind w:left="0" w:firstLineChars="200" w:firstLine="640"/>
        <w:jc w:val="left"/>
        <w:rPr>
          <w:rFonts w:ascii="方正黑体_GBK" w:eastAsia="方正黑体_GBK" w:cs="方正黑体_GBK" w:hAnsi="Times New Roman" w:hint="eastAsia"/>
          <w:b w:val="0"/>
          <w:bCs w:val="0"/>
          <w:color w:val="auto"/>
          <w:kern w:val="0"/>
          <w:sz w:val="32"/>
          <w:szCs w:val="32"/>
        </w:rPr>
      </w:pPr>
      <w:r>
        <w:rPr>
          <w:rFonts w:ascii="方正黑体_GBK" w:eastAsia="方正黑体_GBK" w:cs="方正黑体_GBK" w:hAnsi="Times New Roman" w:hint="eastAsia"/>
          <w:b w:val="0"/>
          <w:bCs w:val="0"/>
          <w:color w:val="auto"/>
          <w:kern w:val="0"/>
          <w:sz w:val="32"/>
          <w:szCs w:val="32"/>
        </w:rPr>
        <w:t>一、收入支出决算总体情况说明</w:t>
      </w:r>
    </w:p>
    <w:p>
      <w:pPr>
        <w:keepNext w:val="0"/>
        <w:keepLines w:val="0"/>
        <w:pageBreakBefore w:val="0"/>
        <w:widowControl w:val="0"/>
        <w:suppressLineNumbers w:val="0"/>
        <w:suppressAutoHyphens w:val="0"/>
        <w:spacing w:beforeAutospacing="0" w:afterAutospacing="0" w:line="560" w:lineRule="exact"/>
        <w:ind w:left="0"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2025年度收、支总计</w:t>
      </w:r>
      <w:r>
        <w:rPr>
          <w:rFonts w:ascii="Times New Roman" w:eastAsia="方正仿宋_GBK" w:cs="Times New Roman" w:hAnsi="Times New Roman"/>
          <w:color w:val="000000"/>
          <w:sz w:val="32"/>
          <w:szCs w:val="32"/>
        </w:rPr>
        <w:t>262.88万元。与2024年度相比，收、支总计各减少17.37万元，降低11.7%。</w:t>
      </w:r>
      <w:r>
        <w:rPr>
          <w:rFonts w:ascii="Times New Roman" w:eastAsia="方正仿宋_GBK" w:cs="Times New Roman" w:hAnsi="Times New Roman"/>
          <w:sz w:val="32"/>
          <w:szCs w:val="32"/>
        </w:rPr>
        <w:t>主要原因：一是一般公共服务支出减少；二是社会保障和就业支出减少；三是住房保障支出减少。</w:t>
      </w:r>
    </w:p>
    <w:p>
      <w:pPr>
        <w:keepNext w:val="0"/>
        <w:keepLines w:val="0"/>
        <w:pageBreakBefore w:val="0"/>
        <w:widowControl w:val="0"/>
        <w:suppressLineNumbers w:val="0"/>
        <w:suppressAutoHyphens w:val="0"/>
        <w:spacing w:beforeAutospacing="0" w:afterAutospacing="0" w:line="560" w:lineRule="exact"/>
        <w:rPr>
          <w:rFonts w:ascii="Times New Roman" w:eastAsia="方正仿宋_GBK" w:cs="Times New Roman" w:hAnsi="Times New Roman"/>
          <w:b/>
          <w:bCs/>
          <w:sz w:val="32"/>
          <w:szCs w:val="32"/>
        </w:rPr>
      </w:pPr>
      <w:r>
        <w:rPr>
          <w:rFonts w:ascii="Times New Roman" w:eastAsia="方正仿宋_GBK" w:cs="Times New Roman" w:hAnsi="Times New Roman"/>
          <w:sz w:val="32"/>
          <w:szCs w:val="32"/>
        </w:rPr>
        <w:t xml:space="preserve">        </w:t>
      </w:r>
      <w:r>
        <w:rPr>
          <w:rFonts w:ascii="Times New Roman" w:eastAsia="方正仿宋_GBK" w:cs="Times New Roman" w:hAnsi="Times New Roman"/>
          <w:b/>
          <w:bCs/>
          <w:sz w:val="32"/>
          <w:szCs w:val="32"/>
        </w:rPr>
        <w:t xml:space="preserve"> 图1：收支决算总计变动情况</w:t>
      </w:r>
    </w:p>
    <w:p>
      <w:pPr>
        <w:keepNext w:val="0"/>
        <w:keepLines w:val="0"/>
        <w:pageBreakBefore w:val="0"/>
        <w:widowControl w:val="0"/>
        <w:suppressLineNumbers w:val="0"/>
        <w:suppressAutoHyphens w:val="0"/>
        <w:spacing w:beforeAutospacing="0" w:afterAutospacing="0"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 xml:space="preserve">                 （单位：万元）</w:t>
      </w:r>
    </w:p>
    <w:p>
      <w:pPr>
        <w:keepNext w:val="0"/>
        <w:keepLines w:val="0"/>
        <w:pageBreakBefore w:val="0"/>
        <w:widowControl w:val="0"/>
        <w:suppressLineNumbers w:val="0"/>
        <w:suppressAutoHyphens w:val="0"/>
        <w:rPr>
          <w:rFonts w:ascii="Times New Roman" w:eastAsia="方正仿宋_GBK" w:cs="Times New Roman" w:hAnsi="Times New Roman"/>
          <w:sz w:val="32"/>
          <w:szCs w:val="32"/>
        </w:rPr>
      </w:pPr>
      <w:r>
        <w:rPr>
          <w:rFonts w:ascii="Times New Roman" w:eastAsia="方正仿宋_GBK" w:cs="Times New Roman" w:hAnsi="Times New Roman"/>
          <w:sz w:val="32"/>
          <w:szCs w:val="32"/>
        </w:rPr>
        <w:drawing>
          <wp:inline distT="0" distB="0" distL="85725" distR="85725">
            <wp:extent cx="5270500" cy="3118311"/>
            <wp:docPr id="9" name="图表 9"/>
            <wp:cNvGraphicFramePr>
              <a:graphicFrameLocks noChangeAspect="0"/>
            </wp:cNvGraphicFramePr>
            <a:graphic>
              <a:graphicData uri="http://schemas.openxmlformats.org/drawingml/2006/chart">
                <c:chart xmlns:c="http://schemas.openxmlformats.org/drawingml/2006/chart" r:id="rId3"/>
              </a:graphicData>
            </a:graphic>
          </wp:inline>
        </w:drawing>
      </w: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keepNext w:val="0"/>
        <w:keepLines w:val="0"/>
        <w:pageBreakBefore w:val="0"/>
        <w:widowControl w:val="0"/>
        <w:suppressLineNumbers w:val="0"/>
        <w:suppressAutoHyphens w:val="0"/>
        <w:rPr>
          <w:rFonts w:ascii="Times New Roman" w:cs="Times New Roman" w:hAnsi="Times New Roman"/>
        </w:rPr>
      </w:pPr>
    </w:p>
    <w:p>
      <w:pPr>
        <w:pStyle w:val="3"/>
        <w:keepNext w:val="0"/>
        <w:keepLines w:val="0"/>
        <w:widowControl/>
        <w:spacing w:before="0" w:line="560" w:lineRule="exact"/>
        <w:ind w:left="0" w:firstLineChars="200" w:firstLine="640"/>
        <w:jc w:val="left"/>
        <w:rPr>
          <w:rFonts w:ascii="方正黑体_GBK" w:eastAsia="方正黑体_GBK" w:cs="方正黑体_GBK" w:hAnsi="Times New Roman" w:hint="eastAsia"/>
          <w:b w:val="0"/>
          <w:bCs w:val="0"/>
          <w:color w:val="auto"/>
          <w:kern w:val="0"/>
          <w:sz w:val="32"/>
          <w:szCs w:val="32"/>
        </w:rPr>
      </w:pPr>
      <w:r>
        <w:rPr>
          <w:rFonts w:ascii="方正黑体_GBK" w:eastAsia="方正黑体_GBK" w:cs="方正黑体_GBK" w:hAnsi="Times New Roman" w:hint="eastAsia"/>
          <w:b w:val="0"/>
          <w:bCs w:val="0"/>
          <w:color w:val="auto"/>
          <w:kern w:val="0"/>
          <w:sz w:val="32"/>
          <w:szCs w:val="32"/>
        </w:rPr>
        <w:t>二、收入决算情况说明</w:t>
      </w:r>
    </w:p>
    <w:p>
      <w:pPr>
        <w:spacing w:line="560" w:lineRule="exact"/>
        <w:ind w:left="0" w:firstLineChars="200" w:firstLine="640"/>
        <w:rPr>
          <w:rFonts w:ascii="Times New Roman" w:eastAsia="方正仿宋_GBK" w:cs="Times New Roman" w:hAnsi="Times New Roman"/>
          <w:color w:val="FF0000"/>
          <w:sz w:val="32"/>
          <w:szCs w:val="32"/>
        </w:rPr>
      </w:pPr>
      <w:r>
        <w:rPr>
          <w:rFonts w:ascii="Times New Roman" w:eastAsia="方正仿宋_GBK" w:cs="Times New Roman" w:hAnsi="Times New Roman"/>
          <w:sz w:val="32"/>
          <w:szCs w:val="32"/>
        </w:rPr>
        <w:t>2025年度总收入合计131.44万元。其中：事业收入118.5万元，占</w:t>
      </w:r>
      <w:r>
        <w:rPr>
          <w:rFonts w:ascii="Times New Roman" w:eastAsia="方正仿宋_GBK" w:cs="Times New Roman" w:hAnsi="Times New Roman"/>
          <w:color w:val="000000"/>
          <w:sz w:val="32"/>
          <w:szCs w:val="32"/>
        </w:rPr>
        <w:t>90.1%</w:t>
      </w:r>
      <w:r>
        <w:rPr>
          <w:rFonts w:ascii="Times New Roman" w:eastAsia="方正仿宋_GBK" w:cs="Times New Roman" w:hAnsi="Times New Roman"/>
          <w:sz w:val="32"/>
          <w:szCs w:val="32"/>
        </w:rPr>
        <w:t>；其他收入0.08万元，占</w:t>
      </w:r>
      <w:r>
        <w:rPr>
          <w:rFonts w:ascii="Times New Roman" w:eastAsia="方正仿宋_GBK" w:cs="Times New Roman" w:hAnsi="Times New Roman"/>
          <w:color w:val="000000"/>
          <w:sz w:val="32"/>
          <w:szCs w:val="32"/>
        </w:rPr>
        <w:t>0.1%</w:t>
      </w:r>
      <w:r>
        <w:rPr>
          <w:rFonts w:ascii="Times New Roman" w:eastAsia="方正仿宋_GBK" w:cs="Times New Roman" w:hAnsi="Times New Roman"/>
          <w:sz w:val="32"/>
          <w:szCs w:val="32"/>
        </w:rPr>
        <w:t>；使用非财政拨款结余（含专用结余）12.86万元，占</w:t>
      </w:r>
      <w:r>
        <w:rPr>
          <w:rFonts w:ascii="Times New Roman" w:eastAsia="方正仿宋_GBK" w:cs="Times New Roman" w:hAnsi="Times New Roman"/>
          <w:color w:val="000000"/>
          <w:sz w:val="32"/>
          <w:szCs w:val="32"/>
        </w:rPr>
        <w:t>9.8%。</w:t>
      </w:r>
    </w:p>
    <w:p>
      <w:pPr>
        <w:pStyle w:val="21"/>
        <w:autoSpaceDN w:val="0"/>
        <w:spacing w:beforeAutospacing="0" w:afterAutospacing="0" w:line="560" w:lineRule="exact"/>
        <w:ind w:firstLineChars="800" w:firstLine="2560"/>
        <w:rPr>
          <w:rFonts w:eastAsia="方正仿宋_GBK"/>
          <w:b/>
          <w:bCs/>
          <w:sz w:val="32"/>
          <w:szCs w:val="32"/>
        </w:rPr>
      </w:pPr>
      <w:r>
        <w:rPr>
          <w:rFonts w:eastAsia="方正仿宋_GBK"/>
          <w:b/>
          <w:bCs/>
          <w:sz w:val="32"/>
          <w:szCs w:val="32"/>
        </w:rPr>
        <w:t>图2：收入决算结构</w:t>
      </w:r>
    </w:p>
    <w:p>
      <w:pPr>
        <w:pStyle w:val="21"/>
        <w:autoSpaceDN w:val="0"/>
        <w:spacing w:line="560" w:lineRule="exact"/>
        <w:ind w:firstLineChars="800" w:firstLine="2560"/>
        <w:rPr>
          <w:rFonts w:eastAsia="方正仿宋_GBK"/>
          <w:sz w:val="32"/>
          <w:szCs w:val="32"/>
        </w:rPr>
      </w:pPr>
      <w:r>
        <w:rPr>
          <w:rFonts w:eastAsia="方正仿宋_GBK"/>
          <w:b/>
          <w:bCs/>
          <w:sz w:val="32"/>
          <w:szCs w:val="32"/>
        </w:rPr>
        <w:drawing>
          <wp:anchor distT="0" distB="0" distL="85725" distR="85725" simplePos="0" relativeHeight="16" behindDoc="0" locked="0" layoutInCell="1" hidden="0" allowOverlap="1">
            <wp:simplePos x="0" y="0"/>
            <wp:positionH relativeFrom="column">
              <wp:posOffset>-114933</wp:posOffset>
            </wp:positionH>
            <wp:positionV relativeFrom="paragraph">
              <wp:posOffset>268605</wp:posOffset>
            </wp:positionV>
            <wp:extent cx="5781673" cy="4100196"/>
            <wp:effectExtent l="0" t="0" r="0" b="0"/>
            <wp:wrapSquare wrapText="bothSides"/>
            <wp:docPr id="10" name="图表 10"/>
            <wp:cNvGraphicFramePr>
              <a:graphicFrameLocks noChangeAspect="0"/>
            </wp:cNvGraphicFramePr>
            <a:graphic>
              <a:graphicData uri="http://schemas.openxmlformats.org/drawingml/2006/chart">
                <c:chart xmlns:c="http://schemas.openxmlformats.org/drawingml/2006/chart" r:id="rId4"/>
              </a:graphicData>
            </a:graphic>
          </wp:anchor>
        </w:drawing>
      </w:r>
      <w:bookmarkStart w:id="1" w:name="_GoBack"/>
      <w:bookmarkEnd w:id="1"/>
    </w:p>
    <w:p>
      <w:pPr>
        <w:pStyle w:val="73"/>
        <w:autoSpaceDN w:val="0"/>
        <w:spacing w:line="560" w:lineRule="exact"/>
        <w:ind w:firstLineChars="200" w:firstLine="616"/>
        <w:rPr>
          <w:rFonts w:eastAsia="方正仿宋_GBK"/>
          <w:b/>
          <w:bCs/>
          <w:sz w:val="32"/>
          <w:szCs w:val="32"/>
        </w:rPr>
      </w:pPr>
      <w:r>
        <w:rPr>
          <w:rFonts w:eastAsia="方正仿宋_GBK"/>
          <w:b/>
          <w:bCs/>
          <w:spacing w:val="-6"/>
          <w:sz w:val="32"/>
          <w:szCs w:val="32"/>
        </w:rPr>
        <w:t>（一）事业收入118.5万元。</w:t>
      </w:r>
      <w:r>
        <w:rPr>
          <w:rFonts w:eastAsia="方正仿宋_GBK"/>
          <w:bCs/>
          <w:spacing w:val="-6"/>
          <w:sz w:val="32"/>
          <w:szCs w:val="32"/>
        </w:rPr>
        <w:t>主要为中</w:t>
      </w:r>
      <w:r>
        <w:rPr>
          <w:rFonts w:eastAsia="方正仿宋_GBK"/>
          <w:spacing w:val="-6"/>
          <w:sz w:val="32"/>
          <w:szCs w:val="32"/>
        </w:rPr>
        <w:t>国电子口岸数据中心太原分中心开展专业业务活动及辅助活动所取得的收入。</w:t>
      </w:r>
    </w:p>
    <w:p>
      <w:pPr>
        <w:spacing w:line="560" w:lineRule="exact"/>
        <w:ind w:firstLineChars="200" w:firstLine="616"/>
        <w:rPr>
          <w:rFonts w:ascii="Times New Roman" w:eastAsia="方正仿宋_GBK" w:cs="Times New Roman" w:hAnsi="Times New Roman"/>
          <w:sz w:val="32"/>
          <w:szCs w:val="32"/>
        </w:rPr>
      </w:pPr>
      <w:r>
        <w:rPr>
          <w:rFonts w:ascii="Times New Roman" w:eastAsia="方正仿宋_GBK" w:cs="Times New Roman" w:hAnsi="Times New Roman"/>
          <w:b/>
          <w:bCs/>
          <w:spacing w:val="-6"/>
          <w:sz w:val="32"/>
          <w:szCs w:val="32"/>
        </w:rPr>
        <w:t>（二）其他收入0.08万元。</w:t>
      </w:r>
      <w:r>
        <w:rPr>
          <w:rFonts w:ascii="Times New Roman" w:eastAsia="方正仿宋_GBK" w:cs="Times New Roman" w:hAnsi="Times New Roman"/>
          <w:spacing w:val="-6"/>
          <w:sz w:val="32"/>
          <w:szCs w:val="32"/>
        </w:rPr>
        <w:t>主要为中国电子口岸数据中心太原分中心在财政拨款、事业收入、经营收入之外取得的收入，包括投资收益、银行利息收入。</w:t>
      </w:r>
    </w:p>
    <w:p>
      <w:pPr>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b/>
          <w:bCs/>
          <w:spacing w:val="-6"/>
          <w:sz w:val="32"/>
          <w:szCs w:val="32"/>
        </w:rPr>
        <w:t>（三）使用非财政拨款结余（含专用结余）12.86万元。</w:t>
      </w:r>
      <w:r>
        <w:rPr>
          <w:rFonts w:ascii="Times New Roman" w:eastAsia="方正仿宋_GBK" w:cs="Times New Roman" w:hAnsi="Times New Roman"/>
          <w:spacing w:val="-6"/>
          <w:sz w:val="32"/>
          <w:szCs w:val="32"/>
        </w:rPr>
        <w:t>主要为中国电子口岸数据中心太原分中心</w:t>
      </w:r>
      <w:r>
        <w:rPr>
          <w:rFonts w:ascii="Times New Roman" w:eastAsia="方正仿宋_GBK" w:cs="Times New Roman" w:hAnsi="Times New Roman"/>
          <w:kern w:val="0"/>
          <w:sz w:val="32"/>
          <w:szCs w:val="32"/>
        </w:rPr>
        <w:t>使用以前年度积累的非财政拨款结余弥补当年收支差额的金额。</w:t>
      </w:r>
    </w:p>
    <w:p>
      <w:pPr>
        <w:spacing w:line="560" w:lineRule="exact"/>
        <w:ind w:firstLineChars="200" w:firstLine="616"/>
        <w:rPr>
          <w:rFonts w:ascii="Times New Roman" w:eastAsia="方正黑体_GBK" w:cs="Times New Roman" w:hAnsi="Times New Roman"/>
          <w:spacing w:val="-6"/>
          <w:sz w:val="32"/>
          <w:szCs w:val="32"/>
        </w:rPr>
      </w:pPr>
      <w:r>
        <w:rPr>
          <w:rFonts w:ascii="Times New Roman" w:eastAsia="方正黑体_GBK" w:cs="Times New Roman" w:hAnsi="Times New Roman"/>
          <w:spacing w:val="-6"/>
          <w:sz w:val="32"/>
          <w:szCs w:val="32"/>
        </w:rPr>
        <w:t>三、支出决算情况说明</w:t>
      </w:r>
    </w:p>
    <w:p>
      <w:pPr>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sz w:val="32"/>
          <w:szCs w:val="32"/>
        </w:rPr>
        <w:t>2025年度支出合计</w:t>
      </w:r>
      <w:r>
        <w:rPr>
          <w:rFonts w:ascii="Times New Roman" w:eastAsia="方正仿宋_GBK" w:cs="Times New Roman" w:hAnsi="Times New Roman"/>
          <w:color w:val="000000"/>
          <w:sz w:val="32"/>
          <w:szCs w:val="32"/>
        </w:rPr>
        <w:t>131.44万元。其中，一般公共服务支出116.08万元，占88.3%；社会保障和就业支出6.8万元，占5.2%；卫生健康支出3.31万元，占2.5%；住房保障支出5.25万元，占4%。</w:t>
      </w:r>
    </w:p>
    <w:p>
      <w:pPr>
        <w:spacing w:beforeAutospacing="0" w:afterAutospacing="0" w:line="560" w:lineRule="exact"/>
        <w:ind w:firstLineChars="600" w:firstLine="1920"/>
        <w:rPr>
          <w:rFonts w:ascii="Times New Roman" w:eastAsia="方正仿宋_GBK" w:cs="Times New Roman" w:hAnsi="Times New Roman"/>
          <w:sz w:val="32"/>
          <w:szCs w:val="32"/>
        </w:rPr>
      </w:pPr>
      <w:r>
        <w:rPr>
          <w:rFonts w:ascii="Times New Roman" w:eastAsia="方正仿宋_GBK" w:cs="Times New Roman" w:hAnsi="Times New Roman"/>
          <w:b/>
          <w:bCs/>
          <w:sz w:val="32"/>
          <w:szCs w:val="32"/>
        </w:rPr>
        <w:t xml:space="preserve"> 图3:支出决算结构图</w:t>
      </w:r>
      <w:r>
        <w:rPr>
          <w:rFonts w:ascii="Times New Roman" w:eastAsia="方正仿宋_GBK" w:cs="Times New Roman" w:hAnsi="Times New Roman"/>
          <w:sz w:val="32"/>
          <w:szCs w:val="32"/>
        </w:rPr>
        <w:t xml:space="preserve">  </w:t>
      </w:r>
    </w:p>
    <w:p>
      <w:pPr>
        <w:pStyle w:val="70"/>
        <w:autoSpaceDN w:val="0"/>
        <w:spacing w:line="560" w:lineRule="exact"/>
        <w:ind w:firstLineChars="550" w:firstLine="1760"/>
        <w:rPr>
          <w:rFonts w:eastAsia="方正仿宋_GBK"/>
          <w:sz w:val="32"/>
          <w:szCs w:val="32"/>
        </w:rPr>
      </w:pPr>
    </w:p>
    <w:p>
      <w:pPr>
        <w:pStyle w:val="70"/>
        <w:autoSpaceDN w:val="0"/>
        <w:spacing w:line="560" w:lineRule="exact"/>
        <w:ind w:left="0" w:firstLineChars="200" w:firstLine="640"/>
        <w:rPr>
          <w:rFonts w:eastAsia="方正仿宋_GBK"/>
          <w:sz w:val="32"/>
          <w:szCs w:val="32"/>
        </w:rPr>
      </w:pPr>
      <w:r>
        <w:rPr>
          <w:rFonts w:eastAsia="方正仿宋_GBK"/>
          <w:b/>
          <w:bCs/>
          <w:kern w:val="0"/>
          <w:sz w:val="32"/>
          <w:szCs w:val="32"/>
        </w:rPr>
        <w:drawing>
          <wp:anchor distT="0" distB="0" distL="85725" distR="85725" simplePos="0" relativeHeight="18" behindDoc="0" locked="0" layoutInCell="1" hidden="0" allowOverlap="1">
            <wp:simplePos x="0" y="0"/>
            <wp:positionH relativeFrom="column">
              <wp:posOffset>182244</wp:posOffset>
            </wp:positionH>
            <wp:positionV relativeFrom="paragraph">
              <wp:posOffset>213358</wp:posOffset>
            </wp:positionV>
            <wp:extent cx="5270500" cy="3370585"/>
            <wp:effectExtent l="0" t="0" r="0" b="0"/>
            <wp:wrapSquare wrapText="bothSides"/>
            <wp:docPr id="11" name="图表 11"/>
            <wp:cNvGraphicFramePr>
              <a:graphicFrameLocks noChangeAspect="0"/>
            </wp:cNvGraphicFramePr>
            <a:graphic>
              <a:graphicData uri="http://schemas.openxmlformats.org/drawingml/2006/chart">
                <c:chart xmlns:c="http://schemas.openxmlformats.org/drawingml/2006/chart" r:id="rId5"/>
              </a:graphicData>
            </a:graphic>
          </wp:anchor>
        </w:drawing>
      </w:r>
      <w:r>
        <w:rPr>
          <w:rFonts w:eastAsia="方正仿宋_GBK"/>
          <w:b/>
          <w:bCs/>
          <w:kern w:val="0"/>
          <w:sz w:val="32"/>
          <w:szCs w:val="32"/>
        </w:rPr>
        <w:t>一般公共服务支出116.08万元。</w:t>
      </w:r>
      <w:r>
        <w:rPr>
          <w:rFonts w:eastAsia="方正仿宋_GBK"/>
          <w:kern w:val="0"/>
          <w:sz w:val="32"/>
          <w:szCs w:val="32"/>
        </w:rPr>
        <w:t>主要用于</w:t>
      </w:r>
      <w:r>
        <w:rPr>
          <w:rFonts w:eastAsia="方正仿宋_GBK"/>
          <w:spacing w:val="-6"/>
          <w:sz w:val="32"/>
          <w:szCs w:val="32"/>
        </w:rPr>
        <w:t>中国电子口岸数据中心太原分中心</w:t>
      </w:r>
      <w:r>
        <w:rPr>
          <w:rFonts w:eastAsia="方正仿宋_GBK"/>
          <w:kern w:val="0"/>
          <w:sz w:val="32"/>
          <w:szCs w:val="32"/>
        </w:rPr>
        <w:t>日常基本支出，其中人员经费</w:t>
      </w:r>
      <w:r>
        <w:rPr>
          <w:rFonts w:eastAsia="方正仿宋_GBK"/>
          <w:color w:val="FF0000"/>
          <w:kern w:val="0"/>
          <w:sz w:val="32"/>
          <w:szCs w:val="32"/>
        </w:rPr>
        <w:t xml:space="preserve"> </w:t>
      </w:r>
      <w:r>
        <w:rPr>
          <w:rFonts w:eastAsia="方正仿宋_GBK"/>
          <w:color w:val="000000"/>
          <w:kern w:val="0"/>
          <w:sz w:val="32"/>
          <w:szCs w:val="32"/>
        </w:rPr>
        <w:t>97.91</w:t>
      </w:r>
      <w:r>
        <w:rPr>
          <w:rFonts w:eastAsia="方正仿宋_GBK"/>
          <w:kern w:val="0"/>
          <w:sz w:val="32"/>
          <w:szCs w:val="32"/>
        </w:rPr>
        <w:t>万元，主要包括人员基本工资、津贴补贴、奖金、绩效工资、其他工资福利支出等；公用经费</w:t>
      </w:r>
      <w:r>
        <w:rPr>
          <w:rFonts w:eastAsia="方正仿宋_GBK"/>
          <w:color w:val="000000"/>
          <w:kern w:val="0"/>
          <w:sz w:val="32"/>
          <w:szCs w:val="32"/>
        </w:rPr>
        <w:t>18.17</w:t>
      </w:r>
      <w:r>
        <w:rPr>
          <w:rFonts w:eastAsia="方正仿宋_GBK"/>
          <w:kern w:val="0"/>
          <w:sz w:val="32"/>
          <w:szCs w:val="32"/>
        </w:rPr>
        <w:t>万元，主要包括办公费、手续费、邮电费、物业管理费、差旅费、维修（护）费、租赁费、工会经费、福利费、公务用车运行维护费、其他交通费用、其他商品和服务支出等。</w:t>
      </w:r>
    </w:p>
    <w:p>
      <w:pPr>
        <w:pStyle w:val="3"/>
        <w:keepNext w:val="0"/>
        <w:keepLines w:val="0"/>
        <w:widowControl/>
        <w:spacing w:before="0" w:beforeAutospacing="0" w:afterAutospacing="0" w:line="560" w:lineRule="exact"/>
        <w:ind w:firstLineChars="200" w:firstLine="640"/>
        <w:jc w:val="left"/>
        <w:rPr>
          <w:rFonts w:ascii="方正黑体_GBK" w:eastAsia="方正黑体_GBK" w:cs="方正黑体_GBK" w:hAnsi="Times New Roman" w:hint="eastAsia"/>
          <w:b w:val="0"/>
          <w:bCs w:val="0"/>
          <w:kern w:val="0"/>
          <w:sz w:val="32"/>
          <w:szCs w:val="32"/>
        </w:rPr>
      </w:pPr>
      <w:r>
        <w:rPr>
          <w:rFonts w:ascii="方正黑体_GBK" w:eastAsia="方正黑体_GBK" w:cs="方正黑体_GBK" w:hAnsi="Times New Roman" w:hint="eastAsia"/>
          <w:b w:val="0"/>
          <w:bCs w:val="0"/>
          <w:color w:val="auto"/>
          <w:kern w:val="0"/>
          <w:sz w:val="32"/>
          <w:szCs w:val="32"/>
        </w:rPr>
        <w:t>四、其他重要事项的情况说明</w:t>
      </w:r>
    </w:p>
    <w:p>
      <w:pPr>
        <w:spacing w:line="560" w:lineRule="exact"/>
        <w:ind w:firstLineChars="200" w:firstLine="640"/>
        <w:rPr>
          <w:rFonts w:ascii="Times New Roman" w:eastAsia="方正仿宋_GBK" w:cs="Times New Roman" w:hAnsi="Times New Roman"/>
          <w:b/>
          <w:bCs/>
          <w:sz w:val="32"/>
          <w:szCs w:val="32"/>
        </w:rPr>
      </w:pPr>
      <w:r>
        <w:rPr>
          <w:rFonts w:ascii="Times New Roman" w:eastAsia="方正仿宋_GBK" w:cs="Times New Roman" w:hAnsi="Times New Roman"/>
          <w:kern w:val="0"/>
          <w:sz w:val="32"/>
          <w:szCs w:val="32"/>
        </w:rPr>
        <w:t>（一）</w:t>
      </w:r>
      <w:r>
        <w:rPr>
          <w:rFonts w:ascii="Times New Roman" w:eastAsia="方正仿宋_GBK" w:cs="Times New Roman" w:hAnsi="Times New Roman"/>
          <w:b/>
          <w:bCs/>
          <w:sz w:val="32"/>
          <w:szCs w:val="32"/>
        </w:rPr>
        <w:t>财政拨款收入支出决算总体情况说明。</w:t>
      </w:r>
    </w:p>
    <w:p>
      <w:pPr>
        <w:spacing w:beforeAutospacing="0" w:afterAutospacing="0"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2025年度</w:t>
      </w:r>
      <w:r>
        <w:rPr>
          <w:rFonts w:ascii="Times New Roman" w:eastAsia="方正仿宋_GBK" w:cs="Times New Roman" w:hAnsi="Times New Roman"/>
          <w:spacing w:val="-6"/>
          <w:sz w:val="32"/>
          <w:szCs w:val="32"/>
        </w:rPr>
        <w:t>中国电子口岸数据中心太原分中心</w:t>
      </w:r>
      <w:r>
        <w:rPr>
          <w:rFonts w:ascii="Times New Roman" w:eastAsia="方正仿宋_GBK" w:cs="Times New Roman" w:hAnsi="Times New Roman"/>
          <w:sz w:val="32"/>
          <w:szCs w:val="32"/>
        </w:rPr>
        <w:t>没有财政拨款收入，也没有使用财政拨款安排的支出。</w:t>
      </w:r>
    </w:p>
    <w:p>
      <w:pPr>
        <w:spacing w:beforeAutospacing="0" w:afterAutospacing="0" w:line="560" w:lineRule="exact"/>
        <w:ind w:firstLineChars="200" w:firstLine="640"/>
        <w:rPr>
          <w:rFonts w:ascii="Times New Roman" w:eastAsia="方正仿宋_GBK" w:cs="Times New Roman" w:hAnsi="Times New Roman"/>
          <w:b/>
          <w:bCs/>
          <w:sz w:val="32"/>
          <w:szCs w:val="32"/>
        </w:rPr>
      </w:pPr>
      <w:r>
        <w:rPr>
          <w:rFonts w:ascii="Times New Roman" w:eastAsia="方正仿宋_GBK" w:cs="Times New Roman" w:hAnsi="Times New Roman"/>
          <w:b/>
          <w:bCs/>
          <w:sz w:val="32"/>
          <w:szCs w:val="32"/>
        </w:rPr>
        <w:t>（二）关于政府采购支出情况说明。</w:t>
      </w:r>
    </w:p>
    <w:p>
      <w:pPr>
        <w:spacing w:beforeAutospacing="0" w:afterAutospacing="0"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2025年度中国电子口岸数据中心太原分中心无政府采购支出。</w:t>
      </w:r>
    </w:p>
    <w:p>
      <w:pPr>
        <w:spacing w:beforeAutospacing="0" w:afterAutospacing="0" w:line="560" w:lineRule="exact"/>
        <w:ind w:firstLineChars="200" w:firstLine="640"/>
        <w:rPr>
          <w:rFonts w:ascii="Times New Roman" w:eastAsia="方正仿宋_GBK" w:cs="Times New Roman" w:hAnsi="Times New Roman"/>
          <w:b/>
          <w:bCs/>
          <w:sz w:val="32"/>
          <w:szCs w:val="32"/>
        </w:rPr>
      </w:pPr>
      <w:r>
        <w:rPr>
          <w:rFonts w:ascii="Times New Roman" w:eastAsia="方正仿宋_GBK" w:cs="Times New Roman" w:hAnsi="Times New Roman"/>
          <w:b/>
          <w:bCs/>
          <w:sz w:val="32"/>
          <w:szCs w:val="32"/>
        </w:rPr>
        <w:t>（三）关于国有资产占用情况。</w:t>
      </w:r>
    </w:p>
    <w:p>
      <w:pPr>
        <w:spacing w:beforeAutospacing="0" w:afterAutospacing="0" w:line="560" w:lineRule="exact"/>
        <w:ind w:firstLineChars="200" w:firstLine="640"/>
        <w:rPr>
          <w:rFonts w:ascii="Times New Roman" w:eastAsia="方正仿宋_GBK" w:cs="Times New Roman" w:hAnsi="Times New Roman"/>
          <w:bCs/>
          <w:color w:val="FF0000"/>
          <w:sz w:val="32"/>
          <w:szCs w:val="32"/>
        </w:rPr>
      </w:pPr>
      <w:r>
        <w:rPr>
          <w:rFonts w:ascii="Times New Roman" w:eastAsia="方正仿宋_GBK" w:cs="Times New Roman" w:hAnsi="Times New Roman"/>
          <w:bCs/>
          <w:color w:val="000000"/>
          <w:sz w:val="32"/>
          <w:szCs w:val="32"/>
        </w:rPr>
        <w:t>截至2025年12月31日，中国电子口岸数据中心太原分中心共有车辆1辆（台），其中：业务用车1辆，业务用车主要是用于日常办公的一般业务用途的车辆。</w:t>
      </w:r>
    </w:p>
    <w:p>
      <w:pPr>
        <w:pStyle w:val="23"/>
        <w:autoSpaceDN w:val="0"/>
        <w:spacing w:line="560" w:lineRule="exact"/>
        <w:rPr>
          <w:rFonts w:eastAsia="方正仿宋_GBK"/>
          <w:sz w:val="32"/>
          <w:szCs w:val="32"/>
        </w:rPr>
      </w:pPr>
    </w:p>
    <w:p>
      <w:pPr>
        <w:widowControl/>
        <w:spacing w:before="240" w:after="240"/>
        <w:jc w:val="left"/>
        <w:rPr>
          <w:rFonts w:ascii="Times New Roman" w:eastAsia="Times New Roman" w:cs="Times New Roman" w:hAnsi="Times New Roman"/>
          <w:kern w:val="0"/>
          <w:sz w:val="24"/>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jc w:val="left"/>
        <w:rPr>
          <w:rFonts w:ascii="Times New Roman" w:eastAsia="SimSun" w:hAnsi="Times New Roman"/>
          <w:color w:val="auto"/>
          <w:kern w:val="0"/>
          <w:sz w:val="36"/>
          <w:szCs w:val="36"/>
        </w:rPr>
      </w:pPr>
    </w:p>
    <w:p>
      <w:pPr>
        <w:pStyle w:val="2"/>
        <w:keepNext w:val="0"/>
        <w:keepLines w:val="0"/>
        <w:widowControl/>
        <w:spacing w:before="299" w:after="299"/>
        <w:ind w:left="0" w:firstLineChars="650" w:firstLine="2340"/>
        <w:jc w:val="left"/>
        <w:rPr>
          <w:rFonts w:ascii="Times New Roman" w:eastAsia="SimSun" w:hAnsi="Times New Roman"/>
          <w:color w:val="auto"/>
          <w:kern w:val="0"/>
          <w:sz w:val="36"/>
          <w:szCs w:val="36"/>
        </w:rPr>
      </w:pPr>
    </w:p>
    <w:p>
      <w:pPr>
        <w:pStyle w:val="2"/>
        <w:keepNext w:val="0"/>
        <w:keepLines w:val="0"/>
        <w:widowControl/>
        <w:spacing w:before="299" w:after="299"/>
        <w:ind w:left="0" w:firstLineChars="650" w:firstLine="2340"/>
        <w:jc w:val="left"/>
        <w:rPr>
          <w:rFonts w:ascii="Times New Roman" w:eastAsia="SimSun" w:hAnsi="Times New Roman"/>
          <w:color w:val="auto"/>
          <w:kern w:val="0"/>
          <w:sz w:val="36"/>
          <w:szCs w:val="36"/>
        </w:rPr>
      </w:pPr>
    </w:p>
    <w:p>
      <w:pPr>
        <w:pStyle w:val="2"/>
        <w:keepNext w:val="0"/>
        <w:keepLines w:val="0"/>
        <w:widowControl/>
        <w:spacing w:before="299" w:after="299"/>
        <w:ind w:left="0" w:firstLineChars="400" w:firstLine="2080"/>
        <w:rPr>
          <w:rFonts w:ascii="Times New Roman" w:eastAsia="方正仿宋_GBK" w:hAnsi="Times New Roman"/>
          <w:color w:val="auto"/>
          <w:kern w:val="0"/>
          <w:sz w:val="52"/>
          <w:szCs w:val="52"/>
        </w:rPr>
      </w:pPr>
    </w:p>
    <w:p>
      <w:pPr>
        <w:pStyle w:val="2"/>
        <w:keepNext w:val="0"/>
        <w:keepLines w:val="0"/>
        <w:widowControl/>
        <w:spacing w:before="299" w:after="299"/>
        <w:ind w:left="0" w:firstLineChars="400" w:firstLine="2080"/>
        <w:rPr>
          <w:rFonts w:ascii="Times New Roman" w:eastAsia="方正仿宋_GBK" w:hAnsi="Times New Roman"/>
          <w:color w:val="auto"/>
          <w:kern w:val="0"/>
          <w:sz w:val="52"/>
          <w:szCs w:val="52"/>
        </w:rPr>
      </w:pPr>
    </w:p>
    <w:p>
      <w:pPr>
        <w:pStyle w:val="2"/>
        <w:keepNext w:val="0"/>
        <w:keepLines w:val="0"/>
        <w:widowControl/>
        <w:spacing w:before="299" w:after="299"/>
        <w:ind w:left="0" w:firstLineChars="400" w:firstLine="2080"/>
        <w:rPr>
          <w:rFonts w:ascii="Times New Roman" w:eastAsia="方正仿宋_GBK" w:hAnsi="Times New Roman"/>
          <w:color w:val="auto"/>
          <w:kern w:val="0"/>
          <w:sz w:val="52"/>
          <w:szCs w:val="52"/>
        </w:rPr>
      </w:pPr>
    </w:p>
    <w:p>
      <w:pPr>
        <w:pStyle w:val="2"/>
        <w:keepNext w:val="0"/>
        <w:keepLines w:val="0"/>
        <w:widowControl/>
        <w:spacing w:before="299" w:after="299"/>
        <w:ind w:left="0" w:firstLineChars="400" w:firstLine="2080"/>
        <w:rPr>
          <w:rFonts w:ascii="Times New Roman" w:eastAsia="方正仿宋_GBK" w:hAnsi="Times New Roman"/>
          <w:color w:val="auto"/>
          <w:kern w:val="0"/>
          <w:sz w:val="52"/>
          <w:szCs w:val="52"/>
        </w:rPr>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pStyle w:val="2"/>
        <w:keepNext w:val="0"/>
        <w:keepLines w:val="0"/>
        <w:widowControl/>
        <w:spacing w:before="299" w:after="299"/>
        <w:ind w:left="0" w:firstLineChars="400" w:firstLine="2080"/>
        <w:rPr>
          <w:rFonts w:ascii="方正黑体_GBK" w:eastAsia="方正黑体_GBK" w:cs="方正黑体_GBK" w:hAnsi="Times New Roman" w:hint="eastAsia"/>
          <w:b w:val="0"/>
          <w:bCs w:val="0"/>
          <w:kern w:val="0"/>
          <w:sz w:val="52"/>
          <w:szCs w:val="52"/>
        </w:rPr>
      </w:pPr>
      <w:r>
        <w:rPr>
          <w:rFonts w:ascii="方正黑体_GBK" w:eastAsia="方正黑体_GBK" w:cs="方正黑体_GBK" w:hAnsi="Times New Roman" w:hint="eastAsia"/>
          <w:b w:val="0"/>
          <w:bCs w:val="0"/>
          <w:color w:val="auto"/>
          <w:kern w:val="0"/>
          <w:sz w:val="52"/>
          <w:szCs w:val="52"/>
        </w:rPr>
        <w:t>第四部分 名词解释</w:t>
      </w: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SimSun" w:cs="Times New Roman" w:hAnsi="Times New Roman"/>
          <w:kern w:val="0"/>
          <w:sz w:val="24"/>
        </w:rPr>
      </w:pPr>
    </w:p>
    <w:p>
      <w:pPr>
        <w:widowControl/>
        <w:spacing w:before="240" w:after="240"/>
        <w:jc w:val="left"/>
        <w:rPr>
          <w:rFonts w:ascii="Times New Roman" w:eastAsia="Times New Roman" w:cs="Times New Roman" w:hAnsi="Times New Roman"/>
          <w:kern w:val="0"/>
          <w:sz w:val="24"/>
        </w:rPr>
      </w:pPr>
    </w:p>
    <w:p>
      <w:pPr>
        <w:widowControl/>
        <w:spacing w:before="240" w:after="240"/>
        <w:jc w:val="left"/>
        <w:rPr>
          <w:rFonts w:ascii="Times New Roman" w:eastAsia="方正仿宋_GBK" w:cs="Times New Roman" w:hAnsi="Times New Roman"/>
          <w:kern w:val="0"/>
          <w:sz w:val="32"/>
          <w:szCs w:val="32"/>
        </w:rPr>
      </w:pPr>
    </w:p>
    <w:p>
      <w:pPr>
        <w:widowControl/>
        <w:spacing w:line="560" w:lineRule="exact"/>
        <w:ind w:left="0"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一、一般公共预算财政拨款收入：</w:t>
      </w:r>
      <w:r>
        <w:rPr>
          <w:rFonts w:ascii="方正仿宋_GBK" w:eastAsia="方正仿宋_GBK" w:cs="方正仿宋_GBK" w:hAnsi="Times New Roman" w:hint="eastAsia"/>
          <w:kern w:val="0"/>
          <w:sz w:val="32"/>
          <w:szCs w:val="32"/>
        </w:rPr>
        <w:t>指中央财政当年拨付的资金。</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二、事业收入</w:t>
      </w:r>
      <w:r>
        <w:rPr>
          <w:rFonts w:ascii="方正仿宋_GBK" w:eastAsia="方正仿宋_GBK" w:cs="方正仿宋_GBK" w:hAnsi="Times New Roman" w:hint="eastAsia"/>
          <w:kern w:val="0"/>
          <w:sz w:val="32"/>
          <w:szCs w:val="32"/>
        </w:rPr>
        <w:t>：指事业单位开展专业业务活动及其辅助活动取得的收入。</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三、经营收入</w:t>
      </w:r>
      <w:r>
        <w:rPr>
          <w:rFonts w:ascii="方正仿宋_GBK" w:eastAsia="方正仿宋_GBK" w:cs="方正仿宋_GBK" w:hAnsi="Times New Roman" w:hint="eastAsia"/>
          <w:kern w:val="0"/>
          <w:sz w:val="32"/>
          <w:szCs w:val="32"/>
        </w:rPr>
        <w:t>：指事业单位在专业业务活动及其辅助活动之外开展非独立核算经营活动取得的收入。</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四、其他收入</w:t>
      </w:r>
      <w:r>
        <w:rPr>
          <w:rFonts w:ascii="方正仿宋_GBK" w:eastAsia="方正仿宋_GBK" w:cs="方正仿宋_GBK" w:hAnsi="Times New Roman" w:hint="eastAsia"/>
          <w:kern w:val="0"/>
          <w:sz w:val="32"/>
          <w:szCs w:val="32"/>
        </w:rPr>
        <w:t>：指除上述一般公共预算财政拨款收入、事业收入、事业单位经营收入等以外的收入。主要是非同级财政拨款收入、存款利息收入等。</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五、使用非财政拨款结余</w:t>
      </w:r>
      <w:r>
        <w:rPr>
          <w:rFonts w:ascii="方正仿宋_GBK" w:eastAsia="方正仿宋_GBK" w:cs="方正仿宋_GBK" w:hAnsi="Times New Roman" w:hint="eastAsia"/>
          <w:kern w:val="0"/>
          <w:sz w:val="32"/>
          <w:szCs w:val="32"/>
        </w:rPr>
        <w:t>：指事业单位使用以前年度积累的非财政拨款结余弥补当年收支差额的金额。</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六、年初结转和结余</w:t>
      </w:r>
      <w:r>
        <w:rPr>
          <w:rFonts w:ascii="方正仿宋_GBK" w:eastAsia="方正仿宋_GBK" w:cs="方正仿宋_GBK" w:hAnsi="Times New Roman" w:hint="eastAsia"/>
          <w:kern w:val="0"/>
          <w:sz w:val="32"/>
          <w:szCs w:val="32"/>
        </w:rPr>
        <w:t>：指单位以前年度尚未完成、结转到本年仍按原规定用途继续使用的资金，或项目已完成等产生的结余资金。</w:t>
      </w:r>
    </w:p>
    <w:p>
      <w:pPr>
        <w:widowControl/>
        <w:spacing w:line="560" w:lineRule="exact"/>
        <w:ind w:firstLineChars="200" w:firstLine="640"/>
        <w:jc w:val="left"/>
        <w:rPr>
          <w:rFonts w:ascii="方正仿宋_GBK" w:eastAsia="方正仿宋_GBK" w:cs="方正仿宋_GBK" w:hAnsi="Times New Roman" w:hint="eastAsia"/>
          <w:b/>
          <w:bCs/>
          <w:kern w:val="0"/>
          <w:sz w:val="32"/>
          <w:szCs w:val="32"/>
        </w:rPr>
      </w:pPr>
      <w:r>
        <w:rPr>
          <w:rFonts w:ascii="方正仿宋_GBK" w:eastAsia="方正仿宋_GBK" w:cs="方正仿宋_GBK" w:hAnsi="Times New Roman" w:hint="eastAsia"/>
          <w:b/>
          <w:bCs/>
          <w:kern w:val="0"/>
          <w:sz w:val="32"/>
          <w:szCs w:val="32"/>
        </w:rPr>
        <w:t>七、一般公共服务（类）海关事务（款）：</w:t>
      </w:r>
      <w:r>
        <w:rPr>
          <w:rFonts w:ascii="方正仿宋_GBK" w:eastAsia="方正仿宋_GBK" w:cs="方正仿宋_GBK" w:hAnsi="Times New Roman" w:hint="eastAsia"/>
          <w:b w:val="0"/>
          <w:bCs w:val="0"/>
          <w:kern w:val="0"/>
          <w:sz w:val="32"/>
          <w:szCs w:val="32"/>
        </w:rPr>
        <w:t>反映海关用于系统行政和事业单位的基本支出及完成专项业务工作的项目支出。</w:t>
      </w:r>
    </w:p>
    <w:p>
      <w:pPr>
        <w:widowControl/>
        <w:spacing w:line="560" w:lineRule="exact"/>
        <w:ind w:firstLineChars="200" w:firstLine="640"/>
        <w:jc w:val="left"/>
        <w:rPr>
          <w:rFonts w:ascii="方正仿宋_GBK" w:eastAsia="方正仿宋_GBK" w:cs="方正仿宋_GBK" w:hAnsi="Times New Roman" w:hint="eastAsia"/>
          <w:b w:val="0"/>
          <w:bCs w:val="0"/>
          <w:kern w:val="0"/>
          <w:sz w:val="32"/>
          <w:szCs w:val="32"/>
        </w:rPr>
      </w:pPr>
      <w:r>
        <w:rPr>
          <w:rFonts w:ascii="方正仿宋_GBK" w:eastAsia="方正仿宋_GBK" w:cs="方正仿宋_GBK" w:hAnsi="Times New Roman" w:hint="eastAsia"/>
          <w:b/>
          <w:bCs/>
          <w:kern w:val="0"/>
          <w:sz w:val="32"/>
          <w:szCs w:val="32"/>
        </w:rPr>
        <w:t>事业运行（项）</w:t>
      </w:r>
      <w:r>
        <w:rPr>
          <w:rFonts w:ascii="方正仿宋_GBK" w:eastAsia="方正仿宋_GBK" w:cs="方正仿宋_GBK" w:hAnsi="Times New Roman" w:hint="eastAsia"/>
          <w:b w:val="0"/>
          <w:bCs w:val="0"/>
          <w:kern w:val="0"/>
          <w:sz w:val="32"/>
          <w:szCs w:val="32"/>
        </w:rPr>
        <w:t>：反映海关事业单位的基本支出，不包括行政单位（包括参照公务员管理的事业单位）后勤服务中心等附属事业单位。</w:t>
      </w:r>
    </w:p>
    <w:p>
      <w:pPr>
        <w:widowControl/>
        <w:spacing w:line="560" w:lineRule="exact"/>
        <w:ind w:firstLineChars="200" w:firstLine="640"/>
        <w:jc w:val="left"/>
        <w:rPr>
          <w:rFonts w:ascii="方正仿宋_GBK" w:eastAsia="方正仿宋_GBK" w:cs="方正仿宋_GBK" w:hAnsi="Times New Roman" w:hint="eastAsia"/>
          <w:b w:val="0"/>
          <w:bCs w:val="0"/>
          <w:kern w:val="0"/>
          <w:sz w:val="32"/>
          <w:szCs w:val="32"/>
        </w:rPr>
      </w:pPr>
      <w:r>
        <w:rPr>
          <w:rFonts w:ascii="方正仿宋_GBK" w:eastAsia="方正仿宋_GBK" w:cs="方正仿宋_GBK" w:hAnsi="Times New Roman" w:hint="eastAsia"/>
          <w:b/>
          <w:bCs/>
          <w:kern w:val="0"/>
          <w:sz w:val="32"/>
          <w:szCs w:val="32"/>
        </w:rPr>
        <w:t>八、社会保障和就业支出（类）行政事业单位养老支出（款）：</w:t>
      </w:r>
      <w:r>
        <w:rPr>
          <w:rFonts w:ascii="方正仿宋_GBK" w:eastAsia="方正仿宋_GBK" w:cs="方正仿宋_GBK" w:hAnsi="Times New Roman" w:hint="eastAsia"/>
          <w:b w:val="0"/>
          <w:bCs w:val="0"/>
          <w:kern w:val="0"/>
          <w:sz w:val="32"/>
          <w:szCs w:val="32"/>
        </w:rPr>
        <w:t>反映用于海关行政事业单位离退休方面的支出。</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机关事业单位基本养老保险缴费支出（项）：</w:t>
      </w:r>
      <w:r>
        <w:rPr>
          <w:rFonts w:ascii="方正仿宋_GBK" w:eastAsia="方正仿宋_GBK" w:cs="方正仿宋_GBK" w:hAnsi="Times New Roman" w:hint="eastAsia"/>
          <w:kern w:val="0"/>
          <w:sz w:val="32"/>
          <w:szCs w:val="32"/>
        </w:rPr>
        <w:t>反映机关事业单位实施养老保险制度由单位缴纳的基本养老保险费支出。</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机关事业单位职业年金缴费支出（项）：</w:t>
      </w:r>
      <w:r>
        <w:rPr>
          <w:rFonts w:ascii="方正仿宋_GBK" w:eastAsia="方正仿宋_GBK" w:cs="方正仿宋_GBK" w:hAnsi="Times New Roman" w:hint="eastAsia"/>
          <w:kern w:val="0"/>
          <w:sz w:val="32"/>
          <w:szCs w:val="32"/>
        </w:rPr>
        <w:t>反映机关事业单位实施养老保险制度由单位实际缴纳的职业年金支出。</w:t>
      </w:r>
    </w:p>
    <w:p>
      <w:pPr>
        <w:widowControl/>
        <w:spacing w:line="560" w:lineRule="exact"/>
        <w:ind w:firstLineChars="200" w:firstLine="640"/>
        <w:jc w:val="left"/>
        <w:rPr>
          <w:rFonts w:ascii="方正仿宋_GBK" w:eastAsia="方正仿宋_GBK" w:cs="方正仿宋_GBK" w:hAnsi="Times New Roman" w:hint="eastAsia"/>
          <w:b/>
          <w:bCs/>
          <w:kern w:val="0"/>
          <w:sz w:val="32"/>
          <w:szCs w:val="32"/>
        </w:rPr>
      </w:pPr>
      <w:r>
        <w:rPr>
          <w:rFonts w:ascii="方正仿宋_GBK" w:eastAsia="方正仿宋_GBK" w:cs="方正仿宋_GBK" w:hAnsi="Times New Roman" w:hint="eastAsia"/>
          <w:b/>
          <w:bCs/>
          <w:kern w:val="0"/>
          <w:sz w:val="32"/>
          <w:szCs w:val="32"/>
        </w:rPr>
        <w:t>九、卫生健康支出（类）行政事业单位医疗：</w:t>
      </w:r>
    </w:p>
    <w:p>
      <w:pPr>
        <w:widowControl/>
        <w:spacing w:line="560" w:lineRule="exact"/>
        <w:ind w:firstLineChars="200" w:firstLine="640"/>
        <w:jc w:val="left"/>
        <w:rPr>
          <w:rFonts w:ascii="方正仿宋_GBK" w:eastAsia="方正仿宋_GBK" w:cs="方正仿宋_GBK" w:hAnsi="Times New Roman" w:hint="eastAsia"/>
          <w:b w:val="0"/>
          <w:bCs w:val="0"/>
          <w:kern w:val="0"/>
          <w:sz w:val="32"/>
          <w:szCs w:val="32"/>
        </w:rPr>
      </w:pPr>
      <w:r>
        <w:rPr>
          <w:rFonts w:ascii="方正仿宋_GBK" w:eastAsia="方正仿宋_GBK" w:cs="方正仿宋_GBK" w:hAnsi="Times New Roman" w:hint="eastAsia"/>
          <w:b/>
          <w:bCs/>
          <w:kern w:val="0"/>
          <w:sz w:val="32"/>
          <w:szCs w:val="32"/>
        </w:rPr>
        <w:t>事业单位医疗（项）：</w:t>
      </w:r>
      <w:r>
        <w:rPr>
          <w:rFonts w:ascii="方正仿宋_GBK" w:eastAsia="方正仿宋_GBK" w:cs="方正仿宋_GBK" w:hAnsi="Times New Roman" w:hint="eastAsia"/>
          <w:b w:val="0"/>
          <w:bCs w:val="0"/>
          <w:kern w:val="0"/>
          <w:sz w:val="32"/>
          <w:szCs w:val="32"/>
        </w:rPr>
        <w:t>反映财政部门安排的事业单位基本医疗保险缴费经费，未参加医疗保险的事业单位的公费医疗经费，按国家规定享受离休人员待遇的医疗经费。</w:t>
      </w:r>
    </w:p>
    <w:p>
      <w:pPr>
        <w:widowControl/>
        <w:spacing w:line="560" w:lineRule="exact"/>
        <w:ind w:firstLineChars="200" w:firstLine="640"/>
        <w:jc w:val="left"/>
        <w:rPr>
          <w:rFonts w:ascii="方正仿宋_GBK" w:eastAsia="方正仿宋_GBK" w:cs="方正仿宋_GBK" w:hAnsi="Times New Roman" w:hint="eastAsia"/>
          <w:b/>
          <w:bCs/>
          <w:kern w:val="0"/>
          <w:sz w:val="32"/>
          <w:szCs w:val="32"/>
        </w:rPr>
      </w:pPr>
      <w:r>
        <w:rPr>
          <w:rFonts w:ascii="方正仿宋_GBK" w:eastAsia="方正仿宋_GBK" w:cs="方正仿宋_GBK" w:hAnsi="Times New Roman" w:hint="eastAsia"/>
          <w:b/>
          <w:bCs/>
          <w:kern w:val="0"/>
          <w:sz w:val="32"/>
          <w:szCs w:val="32"/>
        </w:rPr>
        <w:t>十、住房保障支出（类）住房改革支出（款）：</w:t>
      </w:r>
      <w:r>
        <w:rPr>
          <w:rFonts w:ascii="方正仿宋_GBK" w:eastAsia="方正仿宋_GBK" w:cs="方正仿宋_GBK" w:hAnsi="Times New Roman" w:hint="eastAsia"/>
          <w:b w:val="0"/>
          <w:bCs w:val="0"/>
          <w:kern w:val="0"/>
          <w:sz w:val="32"/>
          <w:szCs w:val="32"/>
        </w:rPr>
        <w:t>反映行政事业单位用财政拨款资金和其他资金等安排的住房改革支出。</w:t>
      </w:r>
    </w:p>
    <w:p>
      <w:pPr>
        <w:widowControl/>
        <w:spacing w:line="560" w:lineRule="exact"/>
        <w:ind w:firstLineChars="200" w:firstLine="640"/>
        <w:jc w:val="left"/>
        <w:rPr>
          <w:rFonts w:ascii="方正仿宋_GBK" w:eastAsia="方正仿宋_GBK" w:cs="方正仿宋_GBK" w:hAnsi="Times New Roman" w:hint="eastAsia"/>
          <w:b w:val="0"/>
          <w:bCs w:val="0"/>
          <w:kern w:val="0"/>
          <w:sz w:val="32"/>
          <w:szCs w:val="32"/>
        </w:rPr>
      </w:pPr>
      <w:r>
        <w:rPr>
          <w:rFonts w:ascii="方正仿宋_GBK" w:eastAsia="方正仿宋_GBK" w:cs="方正仿宋_GBK" w:hAnsi="Times New Roman" w:hint="eastAsia"/>
          <w:b/>
          <w:bCs/>
          <w:kern w:val="0"/>
          <w:sz w:val="32"/>
          <w:szCs w:val="32"/>
        </w:rPr>
        <w:t>住房公积金（项）：</w:t>
      </w:r>
      <w:r>
        <w:rPr>
          <w:rFonts w:ascii="方正仿宋_GBK" w:eastAsia="方正仿宋_GBK" w:cs="方正仿宋_GBK" w:hAnsi="Times New Roman" w:hint="eastAsia"/>
          <w:b w:val="0"/>
          <w:bCs w:val="0"/>
          <w:kern w:val="0"/>
          <w:sz w:val="32"/>
          <w:szCs w:val="32"/>
        </w:rPr>
        <w:t>反映行政事业单位按人力资源和社会保障部、财政部规定的基本工资和津贴补贴以及规定比例为职工缴纳的住房公积金。</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购房补贴（项）：</w:t>
      </w:r>
      <w:r>
        <w:rPr>
          <w:rFonts w:ascii="方正仿宋_GBK" w:eastAsia="方正仿宋_GBK" w:cs="方正仿宋_GBK" w:hAnsi="Times New Roman" w:hint="eastAsia"/>
          <w:b w:val="0"/>
          <w:bCs w:val="0"/>
          <w:kern w:val="0"/>
          <w:sz w:val="32"/>
          <w:szCs w:val="32"/>
        </w:rPr>
        <w:t>反映按房改政策规定，行政事业单位向符合条件的职工（含离退休人员）发放的用于购买住房的补贴。</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十一、结余分配</w:t>
      </w:r>
      <w:r>
        <w:rPr>
          <w:rFonts w:ascii="方正仿宋_GBK" w:eastAsia="方正仿宋_GBK" w:cs="方正仿宋_GBK" w:hAnsi="Times New Roman" w:hint="eastAsia"/>
          <w:kern w:val="0"/>
          <w:sz w:val="32"/>
          <w:szCs w:val="32"/>
        </w:rPr>
        <w:t>：指事业单位按照政府会计制度的规定缴纳的所得税、提取的专用结余以及转入非财政拨款结余的金额等。</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十二、年末结转和结余</w:t>
      </w:r>
      <w:r>
        <w:rPr>
          <w:rFonts w:ascii="方正仿宋_GBK" w:eastAsia="方正仿宋_GBK" w:cs="方正仿宋_GBK" w:hAnsi="Times New Roman" w:hint="eastAsia"/>
          <w:kern w:val="0"/>
          <w:sz w:val="32"/>
          <w:szCs w:val="32"/>
        </w:rPr>
        <w:t>：指单位按有关规定结转到下年或以后年度继续使用的资金，或项目已完成等产生的结余资金。</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十三、基本支出</w:t>
      </w:r>
      <w:r>
        <w:rPr>
          <w:rFonts w:ascii="方正仿宋_GBK" w:eastAsia="方正仿宋_GBK" w:cs="方正仿宋_GBK" w:hAnsi="Times New Roman" w:hint="eastAsia"/>
          <w:kern w:val="0"/>
          <w:sz w:val="32"/>
          <w:szCs w:val="32"/>
        </w:rPr>
        <w:t>：指为保障机构正常运转、完成日常工作任务而发生的人员支出和公用支出。</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十四、项目支出</w:t>
      </w:r>
      <w:r>
        <w:rPr>
          <w:rFonts w:ascii="方正仿宋_GBK" w:eastAsia="方正仿宋_GBK" w:cs="方正仿宋_GBK" w:hAnsi="Times New Roman" w:hint="eastAsia"/>
          <w:kern w:val="0"/>
          <w:sz w:val="32"/>
          <w:szCs w:val="32"/>
        </w:rPr>
        <w:t>：指在基本支出之外为完成特定任务和事业发展目标所发生的支出。</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十五、经营支出</w:t>
      </w:r>
      <w:r>
        <w:rPr>
          <w:rFonts w:ascii="方正仿宋_GBK" w:eastAsia="方正仿宋_GBK" w:cs="方正仿宋_GBK" w:hAnsi="Times New Roman" w:hint="eastAsia"/>
          <w:kern w:val="0"/>
          <w:sz w:val="32"/>
          <w:szCs w:val="32"/>
        </w:rPr>
        <w:t>：指事业单位在专业业务活动及其辅助活动之外开展非独立核算经营活动发生的支出。</w:t>
      </w:r>
    </w:p>
    <w:p>
      <w:pPr>
        <w:widowControl/>
        <w:spacing w:line="560" w:lineRule="exact"/>
        <w:ind w:firstLineChars="200" w:firstLine="640"/>
        <w:jc w:val="left"/>
        <w:rPr>
          <w:rFonts w:ascii="方正仿宋_GBK" w:eastAsia="方正仿宋_GBK" w:cs="方正仿宋_GBK" w:hAnsi="Times New Roman" w:hint="eastAsia"/>
          <w:kern w:val="0"/>
          <w:sz w:val="32"/>
          <w:szCs w:val="32"/>
        </w:rPr>
      </w:pPr>
      <w:r>
        <w:rPr>
          <w:rFonts w:ascii="方正仿宋_GBK" w:eastAsia="方正仿宋_GBK" w:cs="方正仿宋_GBK" w:hAnsi="Times New Roman" w:hint="eastAsia"/>
          <w:b/>
          <w:bCs/>
          <w:kern w:val="0"/>
          <w:sz w:val="32"/>
          <w:szCs w:val="32"/>
        </w:rPr>
        <w:t>十六、“三公经费”</w:t>
      </w:r>
      <w:r>
        <w:rPr>
          <w:rFonts w:ascii="方正仿宋_GBK" w:eastAsia="方正仿宋_GBK" w:cs="方正仿宋_GBK" w:hAnsi="Times New Roman" w:hint="eastAsia"/>
          <w:kern w:val="0"/>
          <w:sz w:val="32"/>
          <w:szCs w:val="32"/>
        </w:rPr>
        <w:t>：纳入中央财政预决算管理的“三公”经费，是指中央部门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及按规定保留的公务用车车辆燃料费、维修费、过路过桥费、保险费、安全奖励费用等支出；公务接待费反映单位按规定开支的各类公务接待（含外宾接待）支出。</w:t>
      </w:r>
    </w:p>
    <w:p>
      <w:pPr>
        <w:widowControl/>
        <w:spacing w:before="240" w:after="240"/>
        <w:jc w:val="left"/>
        <w:rPr>
          <w:rFonts w:ascii="Times New Roman" w:eastAsia="方正仿宋_GBK" w:cs="Times New Roman" w:hAnsi="Times New Roman"/>
          <w:kern w:val="0"/>
          <w:sz w:val="32"/>
          <w:szCs w:val="32"/>
        </w:rPr>
      </w:pPr>
      <w:bookmarkEnd w:id="0"/>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方正小标宋_GBK">
    <w:altName w:val="Arial Unicode MS"/>
    <w:panose1 w:val="03000509000000000000"/>
    <w:charset w:val="86"/>
    <w:family w:val="script"/>
    <w:pitch w:val="variable"/>
    <w:sig w:usb0="00000001" w:usb1="080E0000" w:usb2="00000010" w:usb3="00000000" w:csb0="00040000" w:csb1="00000000"/>
  </w:font>
  <w:font w:name="方正隶书_GBK">
    <w:panose1 w:val="03000509000000000000"/>
    <w:charset w:val="86"/>
    <w:family w:val="script"/>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方正黑体_GBK">
    <w:altName w:val="Arial Unicode MS"/>
    <w:panose1 w:val="03000509000000000000"/>
    <w:charset w:val="86"/>
    <w:family w:val="script"/>
    <w:pitch w:val="variable"/>
    <w:sig w:usb0="00000001" w:usb1="080E0000" w:usb2="00000010" w:usb3="00000000" w:csb0="00040000" w:csb1="00000000"/>
  </w:font>
  <w:font w:name="方正仿宋_GBK">
    <w:altName w:val="Arial Unicode MS"/>
    <w:panose1 w:val="03000509000000000000"/>
    <w:charset w:val="86"/>
    <w:family w:val="script"/>
    <w:pitch w:val="variable"/>
    <w:sig w:usb0="00000001" w:usb1="080E0000" w:usb2="00000000" w:usb3="00000000" w:csb0="00040000" w:csb1="00000000"/>
  </w:font>
  <w:font w:name="SimSun">
    <w:altName w:val="宋体"/>
    <w:panose1 w:val="00000000000000000000"/>
    <w:charset w:val="00"/>
    <w:family w:val="auto"/>
    <w:pitch w:val="variable"/>
    <w:sig w:usb0="00000000" w:usb1="00000000" w:usb2="00000000" w:usb3="00000000" w:csb0="00000000" w:csb1="00000000"/>
  </w:font>
  <w:font w:name="Arial">
    <w:panose1 w:val="020B0604020202020204"/>
    <w:charset w:val="01"/>
    <w:family w:val="swiss"/>
    <w:pitch w:val="variable"/>
    <w:sig w:usb0="E0002AFF" w:usb1="C0007843" w:usb2="00000009" w:usb3="00000000" w:csb0="400001FF" w:csb1="FFFF0000"/>
  </w:font>
  <w:font w:name="Calibri">
    <w:panose1 w:val="020F0502020204030204"/>
    <w:charset w:val="00"/>
    <w:family w:val="swiss"/>
    <w:pitch w:val="variable"/>
    <w:sig w:usb0="E00002FF" w:usb1="4000ACFF" w:usb2="00000001" w:usb3="00000000" w:csb0="2000019F" w:csb1="00000000"/>
  </w:font>
  <w:font w:name="Calibri Light">
    <w:altName w:val="Arial"/>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jc w:val="center"/>
    </w:pPr>
    <w:r>
      <w:rPr>
        <w:rFonts w:ascii="宋体" w:eastAsia="宋体" w:cs="宋体"/>
        <w:sz w:val="18"/>
      </w:rPr>
      <w:fldChar w:fldCharType="begin"/>
    </w:r>
    <w:r>
      <w:rPr>
        <w:rFonts w:ascii="宋体" w:eastAsia="宋体" w:cs="宋体"/>
        <w:sz w:val="18"/>
      </w:rPr>
      <w:instrText xml:space="preserve"> PAGE </w:instrText>
    </w:r>
    <w:r>
      <w:rPr>
        <w:rFonts w:ascii="宋体" w:eastAsia="宋体" w:cs="宋体"/>
        <w:sz w:val="18"/>
      </w:rPr>
      <w:fldChar w:fldCharType="separate"/>
    </w:r>
    <w:r>
      <w:rPr>
        <w:rFonts w:ascii="宋体" w:eastAsia="宋体" w:cs="宋体"/>
        <w:sz w:val="18"/>
      </w:rPr>
      <w:t>7</w:t>
    </w:r>
    <w:r>
      <w:rPr>
        <w:rFonts w:ascii="宋体" w:eastAsia="宋体" w:cs="宋体"/>
        <w:sz w:val="18"/>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6"/>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Arial" w:hAnsi="Calibri"/>
      <w:kern w:val="2"/>
      <w:sz w:val="21"/>
      <w:szCs w:val="24"/>
      <w:lang w:val="en-US" w:eastAsia="zh-CN" w:bidi="ar-SA"/>
    </w:rPr>
  </w:style>
  <w:style w:type="paragraph" w:styleId="1">
    <w:name w:val="heading 1"/>
    <w:qFormat/>
    <w:basedOn w:val="0"/>
    <w:next w:val="0"/>
    <w:link w:val="1Char"/>
    <w:pPr>
      <w:keepNext/>
      <w:keepLines/>
      <w:widowControl w:val="0"/>
      <w:spacing w:before="480" w:after="0"/>
      <w:outlineLvl w:val="0"/>
    </w:pPr>
    <w:rPr>
      <w:rFonts w:ascii="Calibri Light" w:eastAsia="宋体" w:cs="Times New Roman" w:hAnsi="Calibri Light"/>
      <w:b/>
      <w:bCs/>
      <w:color w:val="2E75B5"/>
      <w:sz w:val="28"/>
      <w:szCs w:val="28"/>
    </w:rPr>
  </w:style>
  <w:style w:type="character" w:customStyle="1" w:styleId="1Char">
    <w:name w:val="heading 1 Char"/>
    <w:basedOn w:val="10"/>
    <w:link w:val="1"/>
    <w:rPr>
      <w:rFonts w:ascii="Calibri Light" w:eastAsia="宋体" w:cs="Times New Roman" w:hAnsi="Calibri Light"/>
      <w:b/>
      <w:bCs/>
      <w:color w:val="2E75B5"/>
      <w:kern w:val="2"/>
      <w:sz w:val="28"/>
      <w:szCs w:val="28"/>
      <w:lang w:val="en-US" w:eastAsia="zh-CN" w:bidi="ar-SA"/>
    </w:rPr>
  </w:style>
  <w:style w:type="paragraph" w:styleId="2">
    <w:name w:val="heading 2"/>
    <w:qFormat/>
    <w:basedOn w:val="0"/>
    <w:next w:val="0"/>
    <w:link w:val="2Char"/>
    <w:pPr>
      <w:keepNext/>
      <w:keepLines/>
      <w:widowControl w:val="0"/>
      <w:spacing w:before="200" w:after="0"/>
      <w:outlineLvl w:val="1"/>
    </w:pPr>
    <w:rPr>
      <w:rFonts w:ascii="Calibri Light" w:eastAsia="宋体" w:cs="Times New Roman" w:hAnsi="Calibri Light"/>
      <w:b/>
      <w:bCs/>
      <w:color w:val="5B9BD5"/>
      <w:sz w:val="26"/>
      <w:szCs w:val="26"/>
    </w:rPr>
  </w:style>
  <w:style w:type="character" w:customStyle="1" w:styleId="2Char">
    <w:name w:val="heading 2 Char"/>
    <w:basedOn w:val="10"/>
    <w:link w:val="2"/>
    <w:rPr>
      <w:rFonts w:ascii="Calibri Light" w:eastAsia="宋体" w:cs="Times New Roman" w:hAnsi="Calibri Light"/>
      <w:b/>
      <w:bCs/>
      <w:color w:val="5B9BD5"/>
      <w:kern w:val="2"/>
      <w:sz w:val="26"/>
      <w:szCs w:val="26"/>
      <w:lang w:val="en-US" w:eastAsia="zh-CN" w:bidi="ar-SA"/>
    </w:rPr>
  </w:style>
  <w:style w:type="paragraph" w:styleId="3">
    <w:name w:val="heading 3"/>
    <w:qFormat/>
    <w:basedOn w:val="0"/>
    <w:next w:val="0"/>
    <w:link w:val="3Char"/>
    <w:pPr>
      <w:keepNext/>
      <w:keepLines/>
      <w:widowControl w:val="0"/>
      <w:spacing w:before="200" w:after="0"/>
      <w:outlineLvl w:val="2"/>
    </w:pPr>
    <w:rPr>
      <w:rFonts w:ascii="Calibri Light" w:eastAsia="宋体" w:cs="Times New Roman" w:hAnsi="Calibri Light"/>
      <w:b/>
      <w:bCs/>
      <w:color w:val="5B9BD5"/>
    </w:rPr>
  </w:style>
  <w:style w:type="character" w:customStyle="1" w:styleId="3Char">
    <w:name w:val="heading 3 Char"/>
    <w:basedOn w:val="10"/>
    <w:link w:val="3"/>
    <w:rPr>
      <w:rFonts w:ascii="Calibri Light" w:eastAsia="宋体" w:cs="Times New Roman" w:hAnsi="Calibri Light"/>
      <w:b/>
      <w:bCs/>
      <w:color w:val="5B9BD5"/>
      <w:kern w:val="2"/>
      <w:sz w:val="21"/>
      <w:szCs w:val="24"/>
      <w:lang w:val="en-US" w:eastAsia="zh-CN" w:bidi="ar-SA"/>
    </w:rPr>
  </w:style>
  <w:style w:type="character" w:default="1" w:styleId="10">
    <w:name w:val="Default Paragraph Font"/>
    <w:qFormat/>
  </w:style>
  <w:style w:type="paragraph" w:customStyle="1" w:yozoId="4094" w:styleId="15">
    <w:name w:val="样式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16">
    <w:name w:val="样式 1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17">
    <w:name w:val="样式 2 10 磅"/>
    <w:qFormat/>
    <w:pPr>
      <w:widowControl w:val="0"/>
      <w:jc w:val="both"/>
    </w:pPr>
    <w:rPr>
      <w:rFonts w:ascii="Calibri" w:eastAsia="宋体" w:cs="Arial" w:hAnsi="Calibri"/>
      <w:kern w:val="2"/>
      <w:sz w:val="21"/>
      <w:szCs w:val="24"/>
      <w:lang w:val="en-US" w:eastAsia="zh-CN" w:bidi="ar-SA"/>
    </w:rPr>
  </w:style>
  <w:style w:type="paragraph" w:customStyle="1" w:yozoId="4094" w:styleId="18">
    <w:name w:val="样式 3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19">
    <w:name w:val="样式 13 磅"/>
    <w:qFormat/>
    <w:pPr>
      <w:keepNext/>
      <w:keepLines/>
      <w:widowControl w:val="0"/>
      <w:spacing w:before="200" w:after="0"/>
      <w:jc w:val="both"/>
      <w:outlineLvl w:val="1"/>
    </w:pPr>
    <w:rPr>
      <w:rFonts w:ascii="Calibri Light" w:eastAsia="宋体" w:cs="Times New Roman" w:hAnsi="Calibri Light"/>
      <w:b/>
      <w:bCs/>
      <w:color w:val="5B9BD5"/>
      <w:kern w:val="2"/>
      <w:sz w:val="26"/>
      <w:szCs w:val="26"/>
      <w:lang w:val="en-US" w:eastAsia="zh-CN" w:bidi="ar-SA"/>
    </w:rPr>
  </w:style>
  <w:style w:type="paragraph" w:customStyle="1" w:yozoId="4094" w:styleId="20">
    <w:name w:val="样式 4 10 磅"/>
    <w:qFormat/>
    <w:pPr>
      <w:widowControl w:val="0"/>
      <w:jc w:val="both"/>
    </w:pPr>
    <w:rPr>
      <w:rFonts w:ascii="Calibri" w:eastAsia="宋体" w:cs="Arial" w:hAnsi="Calibri"/>
      <w:kern w:val="2"/>
      <w:sz w:val="21"/>
      <w:szCs w:val="24"/>
      <w:lang w:val="en-US" w:eastAsia="zh-CN" w:bidi="ar-SA"/>
    </w:rPr>
  </w:style>
  <w:style w:type="paragraph" w:customStyle="1" w:yozoId="4094" w:styleId="21">
    <w:name w:val="样式 5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2">
    <w:name w:val="样式 6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3">
    <w:name w:val="样式 7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4">
    <w:name w:val="样式 8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5">
    <w:name w:val="样式 9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6">
    <w:name w:val="样式 10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7">
    <w:name w:val="样式 11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8">
    <w:name w:val="样式 12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9">
    <w:name w:val="样式 13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30">
    <w:name w:val="样式 14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31">
    <w:name w:val="样式 1 13 磅"/>
    <w:qFormat/>
    <w:pPr>
      <w:keepNext/>
      <w:keepLines/>
      <w:widowControl w:val="0"/>
      <w:spacing w:before="200" w:after="0"/>
      <w:jc w:val="both"/>
      <w:outlineLvl w:val="1"/>
    </w:pPr>
    <w:rPr>
      <w:rFonts w:ascii="Calibri Light" w:eastAsia="宋体" w:cs="Times New Roman" w:hAnsi="Calibri Light"/>
      <w:b/>
      <w:bCs/>
      <w:color w:val="5B9BD5"/>
      <w:kern w:val="2"/>
      <w:sz w:val="26"/>
      <w:szCs w:val="26"/>
      <w:lang w:val="en-US" w:eastAsia="zh-CN" w:bidi="ar-SA"/>
    </w:rPr>
  </w:style>
  <w:style w:type="paragraph" w:customStyle="1" w:yozoId="4094" w:styleId="32">
    <w:name w:val="样式 15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33">
    <w:name w:val="样式 16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34">
    <w:name w:val="样式 17 10 磅"/>
    <w:qFormat/>
    <w:pPr>
      <w:widowControl w:val="0"/>
      <w:jc w:val="both"/>
    </w:pPr>
    <w:rPr>
      <w:rFonts w:ascii="Calibri" w:eastAsia="宋体" w:cs="Arial" w:hAnsi="Calibri"/>
      <w:kern w:val="2"/>
      <w:sz w:val="21"/>
      <w:szCs w:val="24"/>
      <w:lang w:val="en-US" w:eastAsia="zh-CN" w:bidi="ar-SA"/>
    </w:rPr>
  </w:style>
  <w:style w:type="paragraph" w:customStyle="1" w:yozoId="4094" w:styleId="35">
    <w:name w:val="样式 18 10 磅"/>
    <w:qFormat/>
    <w:pPr>
      <w:widowControl w:val="0"/>
      <w:jc w:val="both"/>
    </w:pPr>
    <w:rPr>
      <w:rFonts w:ascii="Calibri" w:eastAsia="宋体" w:cs="Arial" w:hAnsi="Calibri"/>
      <w:kern w:val="2"/>
      <w:sz w:val="21"/>
      <w:szCs w:val="24"/>
      <w:lang w:val="en-US" w:eastAsia="zh-CN" w:bidi="ar-SA"/>
    </w:rPr>
  </w:style>
  <w:style w:type="paragraph" w:customStyle="1" w:yozoId="4094" w:styleId="36">
    <w:name w:val="样式 19 10 磅"/>
    <w:qFormat/>
    <w:pPr>
      <w:widowControl w:val="0"/>
      <w:jc w:val="both"/>
    </w:pPr>
    <w:rPr>
      <w:rFonts w:ascii="Calibri" w:eastAsia="宋体" w:cs="Arial" w:hAnsi="Calibri"/>
      <w:kern w:val="2"/>
      <w:sz w:val="21"/>
      <w:szCs w:val="24"/>
      <w:lang w:val="en-US" w:eastAsia="zh-CN" w:bidi="ar-SA"/>
    </w:rPr>
  </w:style>
  <w:style w:type="paragraph" w:customStyle="1" w:yozoId="4094" w:styleId="37">
    <w:name w:val="样式 20 10 磅"/>
    <w:qFormat/>
    <w:pPr>
      <w:widowControl w:val="0"/>
      <w:jc w:val="both"/>
    </w:pPr>
    <w:rPr>
      <w:rFonts w:ascii="Calibri" w:eastAsia="宋体" w:cs="Arial" w:hAnsi="Calibri"/>
      <w:kern w:val="2"/>
      <w:sz w:val="21"/>
      <w:szCs w:val="24"/>
      <w:lang w:val="en-US" w:eastAsia="zh-CN" w:bidi="ar-SA"/>
    </w:rPr>
  </w:style>
  <w:style w:type="paragraph" w:customStyle="1" w:yozoId="4094" w:styleId="38">
    <w:name w:val="样式 21 10 磅"/>
    <w:qFormat/>
    <w:pPr>
      <w:widowControl w:val="0"/>
      <w:jc w:val="both"/>
    </w:pPr>
    <w:rPr>
      <w:rFonts w:ascii="Calibri" w:eastAsia="宋体" w:cs="Arial" w:hAnsi="Calibri"/>
      <w:kern w:val="2"/>
      <w:sz w:val="21"/>
      <w:szCs w:val="24"/>
      <w:lang w:val="en-US" w:eastAsia="zh-CN" w:bidi="ar-SA"/>
    </w:rPr>
  </w:style>
  <w:style w:type="paragraph" w:customStyle="1" w:yozoId="4094" w:styleId="39">
    <w:name w:val="样式 22 10 磅"/>
    <w:qFormat/>
    <w:pPr>
      <w:widowControl w:val="0"/>
      <w:jc w:val="both"/>
    </w:pPr>
    <w:rPr>
      <w:rFonts w:ascii="Calibri" w:eastAsia="宋体" w:cs="Arial" w:hAnsi="Calibri"/>
      <w:kern w:val="2"/>
      <w:sz w:val="21"/>
      <w:szCs w:val="24"/>
      <w:lang w:val="en-US" w:eastAsia="zh-CN" w:bidi="ar-SA"/>
    </w:rPr>
  </w:style>
  <w:style w:type="paragraph" w:customStyle="1" w:yozoId="4094" w:styleId="40">
    <w:name w:val="样式 23 10 磅"/>
    <w:qFormat/>
    <w:pPr>
      <w:widowControl w:val="0"/>
      <w:jc w:val="both"/>
    </w:pPr>
    <w:rPr>
      <w:rFonts w:ascii="Calibri" w:eastAsia="宋体" w:cs="Arial" w:hAnsi="Calibri"/>
      <w:kern w:val="2"/>
      <w:sz w:val="21"/>
      <w:szCs w:val="24"/>
      <w:lang w:val="en-US" w:eastAsia="zh-CN" w:bidi="ar-SA"/>
    </w:rPr>
  </w:style>
  <w:style w:type="paragraph" w:customStyle="1" w:yozoId="4094" w:styleId="41">
    <w:name w:val="样式 24 10 磅"/>
    <w:qFormat/>
    <w:pPr>
      <w:widowControl w:val="0"/>
      <w:jc w:val="both"/>
    </w:pPr>
    <w:rPr>
      <w:rFonts w:ascii="Calibri" w:eastAsia="宋体" w:cs="Arial" w:hAnsi="Calibri"/>
      <w:kern w:val="2"/>
      <w:sz w:val="21"/>
      <w:szCs w:val="24"/>
      <w:lang w:val="en-US" w:eastAsia="zh-CN" w:bidi="ar-SA"/>
    </w:rPr>
  </w:style>
  <w:style w:type="paragraph" w:customStyle="1" w:yozoId="4094" w:styleId="42">
    <w:name w:val="样式 25 10 磅"/>
    <w:qFormat/>
    <w:pPr>
      <w:widowControl w:val="0"/>
      <w:jc w:val="both"/>
    </w:pPr>
    <w:rPr>
      <w:rFonts w:ascii="Calibri" w:eastAsia="宋体" w:cs="Arial" w:hAnsi="Calibri"/>
      <w:kern w:val="2"/>
      <w:sz w:val="21"/>
      <w:szCs w:val="24"/>
      <w:lang w:val="en-US" w:eastAsia="zh-CN" w:bidi="ar-SA"/>
    </w:rPr>
  </w:style>
  <w:style w:type="paragraph" w:customStyle="1" w:yozoId="4094" w:styleId="43">
    <w:name w:val="样式 26 10 磅"/>
    <w:qFormat/>
    <w:pPr>
      <w:widowControl w:val="0"/>
      <w:jc w:val="both"/>
    </w:pPr>
    <w:rPr>
      <w:rFonts w:ascii="Calibri" w:eastAsia="宋体" w:cs="Arial" w:hAnsi="Calibri"/>
      <w:kern w:val="2"/>
      <w:sz w:val="21"/>
      <w:szCs w:val="24"/>
      <w:lang w:val="en-US" w:eastAsia="zh-CN" w:bidi="ar-SA"/>
    </w:rPr>
  </w:style>
  <w:style w:type="paragraph" w:customStyle="1" w:yozoId="4094" w:styleId="44">
    <w:name w:val="样式 27 10 磅"/>
    <w:qFormat/>
    <w:pPr>
      <w:widowControl w:val="0"/>
      <w:jc w:val="both"/>
    </w:pPr>
    <w:rPr>
      <w:rFonts w:ascii="Calibri" w:eastAsia="宋体" w:cs="Arial" w:hAnsi="Calibri"/>
      <w:kern w:val="2"/>
      <w:sz w:val="21"/>
      <w:szCs w:val="24"/>
      <w:lang w:val="en-US" w:eastAsia="zh-CN" w:bidi="ar-SA"/>
    </w:rPr>
  </w:style>
  <w:style w:type="paragraph" w:customStyle="1" w:yozoId="4094" w:styleId="45">
    <w:name w:val="样式 28 10 磅"/>
    <w:qFormat/>
    <w:pPr>
      <w:widowControl w:val="0"/>
      <w:jc w:val="both"/>
    </w:pPr>
    <w:rPr>
      <w:rFonts w:ascii="Calibri" w:eastAsia="宋体" w:cs="Arial" w:hAnsi="Calibri"/>
      <w:kern w:val="2"/>
      <w:sz w:val="21"/>
      <w:szCs w:val="24"/>
      <w:lang w:val="en-US" w:eastAsia="zh-CN" w:bidi="ar-SA"/>
    </w:rPr>
  </w:style>
  <w:style w:type="paragraph" w:customStyle="1" w:yozoId="4094" w:styleId="46">
    <w:name w:val="样式 29 10 磅"/>
    <w:qFormat/>
    <w:pPr>
      <w:widowControl w:val="0"/>
      <w:jc w:val="both"/>
    </w:pPr>
    <w:rPr>
      <w:rFonts w:ascii="Calibri" w:eastAsia="宋体" w:cs="Arial" w:hAnsi="Calibri"/>
      <w:kern w:val="2"/>
      <w:sz w:val="21"/>
      <w:szCs w:val="24"/>
      <w:lang w:val="en-US" w:eastAsia="zh-CN" w:bidi="ar-SA"/>
    </w:rPr>
  </w:style>
  <w:style w:type="paragraph" w:customStyle="1" w:yozoId="4094" w:styleId="47">
    <w:name w:val="样式 30 10 磅"/>
    <w:qFormat/>
    <w:pPr>
      <w:widowControl w:val="0"/>
      <w:jc w:val="both"/>
    </w:pPr>
    <w:rPr>
      <w:rFonts w:ascii="Calibri" w:eastAsia="宋体" w:cs="Arial" w:hAnsi="Calibri"/>
      <w:kern w:val="2"/>
      <w:sz w:val="21"/>
      <w:szCs w:val="24"/>
      <w:lang w:val="en-US" w:eastAsia="zh-CN" w:bidi="ar-SA"/>
    </w:rPr>
  </w:style>
  <w:style w:type="paragraph" w:customStyle="1" w:yozoId="4094" w:styleId="48">
    <w:name w:val="样式 31 10 磅"/>
    <w:qFormat/>
    <w:pPr>
      <w:widowControl w:val="0"/>
      <w:jc w:val="both"/>
    </w:pPr>
    <w:rPr>
      <w:rFonts w:ascii="Calibri" w:eastAsia="宋体" w:cs="Arial" w:hAnsi="Calibri"/>
      <w:kern w:val="2"/>
      <w:sz w:val="21"/>
      <w:szCs w:val="24"/>
      <w:lang w:val="en-US" w:eastAsia="zh-CN" w:bidi="ar-SA"/>
    </w:rPr>
  </w:style>
  <w:style w:type="paragraph" w:customStyle="1" w:yozoId="4094" w:styleId="49">
    <w:name w:val="样式 32 10 磅"/>
    <w:qFormat/>
    <w:pPr>
      <w:widowControl w:val="0"/>
      <w:jc w:val="both"/>
    </w:pPr>
    <w:rPr>
      <w:rFonts w:ascii="Calibri" w:eastAsia="宋体" w:cs="Arial" w:hAnsi="Calibri"/>
      <w:kern w:val="2"/>
      <w:sz w:val="21"/>
      <w:szCs w:val="24"/>
      <w:lang w:val="en-US" w:eastAsia="zh-CN" w:bidi="ar-SA"/>
    </w:rPr>
  </w:style>
  <w:style w:type="paragraph" w:customStyle="1" w:yozoId="4094" w:styleId="50">
    <w:name w:val="样式 33 10 磅"/>
    <w:qFormat/>
    <w:pPr>
      <w:widowControl w:val="0"/>
      <w:jc w:val="both"/>
    </w:pPr>
    <w:rPr>
      <w:rFonts w:ascii="Calibri" w:eastAsia="宋体" w:cs="Arial" w:hAnsi="Calibri"/>
      <w:kern w:val="2"/>
      <w:sz w:val="21"/>
      <w:szCs w:val="24"/>
      <w:lang w:val="en-US" w:eastAsia="zh-CN" w:bidi="ar-SA"/>
    </w:rPr>
  </w:style>
  <w:style w:type="paragraph" w:customStyle="1" w:yozoId="4094" w:styleId="51">
    <w:name w:val="样式 34 10 磅"/>
    <w:qFormat/>
    <w:pPr>
      <w:widowControl w:val="0"/>
      <w:jc w:val="both"/>
    </w:pPr>
    <w:rPr>
      <w:rFonts w:ascii="Calibri" w:eastAsia="宋体" w:cs="Arial" w:hAnsi="Calibri"/>
      <w:kern w:val="2"/>
      <w:sz w:val="21"/>
      <w:szCs w:val="24"/>
      <w:lang w:val="en-US" w:eastAsia="zh-CN" w:bidi="ar-SA"/>
    </w:rPr>
  </w:style>
  <w:style w:type="paragraph" w:customStyle="1" w:yozoId="4094" w:styleId="52">
    <w:name w:val="样式 35 10 磅"/>
    <w:qFormat/>
    <w:pPr>
      <w:widowControl w:val="0"/>
      <w:jc w:val="both"/>
    </w:pPr>
    <w:rPr>
      <w:rFonts w:ascii="Calibri" w:eastAsia="宋体" w:cs="Arial" w:hAnsi="Calibri"/>
      <w:kern w:val="2"/>
      <w:sz w:val="21"/>
      <w:szCs w:val="24"/>
      <w:lang w:val="en-US" w:eastAsia="zh-CN" w:bidi="ar-SA"/>
    </w:rPr>
  </w:style>
  <w:style w:type="paragraph" w:customStyle="1" w:yozoId="4094" w:styleId="53">
    <w:name w:val="样式 36 10 磅"/>
    <w:qFormat/>
    <w:pPr>
      <w:widowControl w:val="0"/>
      <w:jc w:val="both"/>
    </w:pPr>
    <w:rPr>
      <w:rFonts w:ascii="Calibri" w:eastAsia="宋体" w:cs="Arial" w:hAnsi="Calibri"/>
      <w:kern w:val="2"/>
      <w:sz w:val="21"/>
      <w:szCs w:val="24"/>
      <w:lang w:val="en-US" w:eastAsia="zh-CN" w:bidi="ar-SA"/>
    </w:rPr>
  </w:style>
  <w:style w:type="paragraph" w:customStyle="1" w:yozoId="4094" w:styleId="54">
    <w:name w:val="样式 37 10 磅"/>
    <w:qFormat/>
    <w:pPr>
      <w:widowControl w:val="0"/>
      <w:jc w:val="both"/>
    </w:pPr>
    <w:rPr>
      <w:rFonts w:ascii="Calibri" w:eastAsia="宋体" w:cs="Arial" w:hAnsi="Calibri"/>
      <w:kern w:val="2"/>
      <w:sz w:val="21"/>
      <w:szCs w:val="24"/>
      <w:lang w:val="en-US" w:eastAsia="zh-CN" w:bidi="ar-SA"/>
    </w:rPr>
  </w:style>
  <w:style w:type="paragraph" w:customStyle="1" w:yozoId="4094" w:styleId="55">
    <w:name w:val="样式 38 10 磅"/>
    <w:qFormat/>
    <w:pPr>
      <w:widowControl w:val="0"/>
      <w:jc w:val="both"/>
    </w:pPr>
    <w:rPr>
      <w:rFonts w:ascii="Calibri" w:eastAsia="宋体" w:cs="Arial" w:hAnsi="Calibri"/>
      <w:kern w:val="2"/>
      <w:sz w:val="21"/>
      <w:szCs w:val="24"/>
      <w:lang w:val="en-US" w:eastAsia="zh-CN" w:bidi="ar-SA"/>
    </w:rPr>
  </w:style>
  <w:style w:type="paragraph" w:customStyle="1" w:yozoId="4094" w:styleId="56">
    <w:name w:val="样式 39 10 磅"/>
    <w:qFormat/>
    <w:pPr>
      <w:widowControl w:val="0"/>
      <w:jc w:val="both"/>
    </w:pPr>
    <w:rPr>
      <w:rFonts w:ascii="Calibri" w:eastAsia="宋体" w:cs="Arial" w:hAnsi="Calibri"/>
      <w:kern w:val="2"/>
      <w:sz w:val="21"/>
      <w:szCs w:val="24"/>
      <w:lang w:val="en-US" w:eastAsia="zh-CN" w:bidi="ar-SA"/>
    </w:rPr>
  </w:style>
  <w:style w:type="paragraph" w:customStyle="1" w:yozoId="4094" w:styleId="57">
    <w:name w:val="样式 40 10 磅"/>
    <w:qFormat/>
    <w:pPr>
      <w:widowControl w:val="0"/>
      <w:jc w:val="both"/>
    </w:pPr>
    <w:rPr>
      <w:rFonts w:ascii="Calibri" w:eastAsia="宋体" w:cs="Arial" w:hAnsi="Calibri"/>
      <w:kern w:val="2"/>
      <w:sz w:val="21"/>
      <w:szCs w:val="24"/>
      <w:lang w:val="en-US" w:eastAsia="zh-CN" w:bidi="ar-SA"/>
    </w:rPr>
  </w:style>
  <w:style w:type="paragraph" w:customStyle="1" w:yozoId="4094" w:styleId="58">
    <w:name w:val="样式 41 10 磅"/>
    <w:qFormat/>
    <w:pPr>
      <w:widowControl w:val="0"/>
      <w:jc w:val="both"/>
    </w:pPr>
    <w:rPr>
      <w:rFonts w:ascii="Calibri" w:eastAsia="宋体" w:cs="Arial" w:hAnsi="Calibri"/>
      <w:kern w:val="2"/>
      <w:sz w:val="21"/>
      <w:szCs w:val="24"/>
      <w:lang w:val="en-US" w:eastAsia="zh-CN" w:bidi="ar-SA"/>
    </w:rPr>
  </w:style>
  <w:style w:type="paragraph" w:customStyle="1" w:yozoId="4094" w:styleId="59">
    <w:name w:val="样式 42 10 磅"/>
    <w:qFormat/>
    <w:pPr>
      <w:widowControl w:val="0"/>
      <w:jc w:val="both"/>
    </w:pPr>
    <w:rPr>
      <w:rFonts w:ascii="Calibri" w:eastAsia="宋体" w:cs="Arial" w:hAnsi="Calibri"/>
      <w:kern w:val="2"/>
      <w:sz w:val="21"/>
      <w:szCs w:val="24"/>
      <w:lang w:val="en-US" w:eastAsia="zh-CN" w:bidi="ar-SA"/>
    </w:rPr>
  </w:style>
  <w:style w:type="paragraph" w:customStyle="1" w:yozoId="4094" w:styleId="60">
    <w:name w:val="样式 43 10 磅"/>
    <w:qFormat/>
    <w:pPr>
      <w:widowControl w:val="0"/>
      <w:jc w:val="both"/>
    </w:pPr>
    <w:rPr>
      <w:rFonts w:ascii="Calibri" w:eastAsia="宋体" w:cs="Arial" w:hAnsi="Calibri"/>
      <w:kern w:val="2"/>
      <w:sz w:val="21"/>
      <w:szCs w:val="24"/>
      <w:lang w:val="en-US" w:eastAsia="zh-CN" w:bidi="ar-SA"/>
    </w:rPr>
  </w:style>
  <w:style w:type="paragraph" w:customStyle="1" w:yozoId="4094" w:styleId="61">
    <w:name w:val="样式 44 10 磅"/>
    <w:qFormat/>
    <w:pPr>
      <w:widowControl w:val="0"/>
      <w:jc w:val="both"/>
    </w:pPr>
    <w:rPr>
      <w:rFonts w:ascii="Calibri" w:eastAsia="宋体" w:cs="Arial" w:hAnsi="Calibri"/>
      <w:kern w:val="2"/>
      <w:sz w:val="21"/>
      <w:szCs w:val="24"/>
      <w:lang w:val="en-US" w:eastAsia="zh-CN" w:bidi="ar-SA"/>
    </w:rPr>
  </w:style>
  <w:style w:type="paragraph" w:customStyle="1" w:yozoId="4094" w:styleId="62">
    <w:name w:val="样式 45 10 磅"/>
    <w:qFormat/>
    <w:pPr>
      <w:widowControl w:val="0"/>
      <w:jc w:val="both"/>
    </w:pPr>
    <w:rPr>
      <w:rFonts w:ascii="Calibri" w:eastAsia="宋体" w:cs="Arial" w:hAnsi="Calibri"/>
      <w:kern w:val="2"/>
      <w:sz w:val="21"/>
      <w:szCs w:val="24"/>
      <w:lang w:val="en-US" w:eastAsia="zh-CN" w:bidi="ar-SA"/>
    </w:rPr>
  </w:style>
  <w:style w:type="paragraph" w:customStyle="1" w:yozoId="4094" w:styleId="63">
    <w:name w:val="样式 46 10 磅"/>
    <w:qFormat/>
    <w:pPr>
      <w:widowControl w:val="0"/>
      <w:jc w:val="both"/>
    </w:pPr>
    <w:rPr>
      <w:rFonts w:ascii="Calibri" w:eastAsia="宋体" w:cs="Arial" w:hAnsi="Calibri"/>
      <w:kern w:val="2"/>
      <w:sz w:val="21"/>
      <w:szCs w:val="24"/>
      <w:lang w:val="en-US" w:eastAsia="zh-CN" w:bidi="ar-SA"/>
    </w:rPr>
  </w:style>
  <w:style w:type="paragraph" w:customStyle="1" w:yozoId="4094" w:styleId="64">
    <w:name w:val="样式 47 10 磅"/>
    <w:qFormat/>
    <w:pPr>
      <w:widowControl w:val="0"/>
      <w:jc w:val="both"/>
    </w:pPr>
    <w:rPr>
      <w:rFonts w:ascii="Calibri" w:eastAsia="宋体" w:cs="Arial" w:hAnsi="Calibri"/>
      <w:kern w:val="2"/>
      <w:sz w:val="21"/>
      <w:szCs w:val="24"/>
      <w:lang w:val="en-US" w:eastAsia="zh-CN" w:bidi="ar-SA"/>
    </w:rPr>
  </w:style>
  <w:style w:type="paragraph" w:customStyle="1" w:yozoId="4094" w:styleId="65">
    <w:name w:val="样式 48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66">
    <w:name w:val="样式 49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67">
    <w:name w:val="样式 50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68">
    <w:name w:val="样式 51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69">
    <w:name w:val="样式 52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0">
    <w:name w:val="样式 53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1">
    <w:name w:val="样式 54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2">
    <w:name w:val="样式 55 10 磅"/>
    <w:qFormat/>
    <w:pPr>
      <w:widowControl w:val="0"/>
      <w:jc w:val="both"/>
    </w:pPr>
    <w:rPr>
      <w:rFonts w:ascii="Calibri" w:eastAsia="宋体" w:cs="Arial" w:hAnsi="Calibri"/>
      <w:kern w:val="2"/>
      <w:sz w:val="21"/>
      <w:szCs w:val="24"/>
      <w:lang w:val="en-US" w:eastAsia="zh-CN" w:bidi="ar-SA"/>
    </w:rPr>
  </w:style>
  <w:style w:type="paragraph" w:customStyle="1" w:yozoId="4094" w:styleId="73">
    <w:name w:val="样式 56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4">
    <w:name w:val="样式 57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5">
    <w:name w:val="样式 58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6">
    <w:name w:val="样式 59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7">
    <w:name w:val="样式 60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78">
    <w:name w:val="样式 61 10 磅"/>
    <w:qFormat/>
    <w:pPr>
      <w:widowControl w:val="0"/>
      <w:jc w:val="both"/>
    </w:pPr>
    <w:rPr>
      <w:rFonts w:ascii="Calibri" w:eastAsia="宋体" w:cs="Arial"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chart" Target="charts/chart1.xml"/><Relationship Id="rId4" Type="http://schemas.openxmlformats.org/officeDocument/2006/relationships/chart" Target="charts/chart2.xml"/><Relationship Id="rId5" Type="http://schemas.openxmlformats.org/officeDocument/2006/relationships/chart" Target="charts/chart3.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customXml" Target="../customXml/item1.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outer"/>
          <c:xMode val="edge"/>
          <c:yMode val="edge"/>
          <c:x val="0.0019267823"/>
          <c:y val="0.110749185"/>
          <c:w val="0.94990367"/>
          <c:h val="0.71335506"/>
        </c:manualLayout>
      </c:layout>
      <c:barChart>
        <c:barDir val="col"/>
        <c:grouping val="clustered"/>
        <c:varyColors val="0"/>
        <c:ser>
          <c:idx val="0"/>
          <c:order val="0"/>
          <c:tx>
            <c:strRef>
              <c:f>'工作表1'!$B$1</c:f>
              <c:strCache>
                <c:ptCount val="1"/>
                <c:pt idx="0">
                  <c:v>2024年度</c:v>
                </c:pt>
              </c:strCache>
            </c:strRef>
          </c:tx>
          <c:spPr>
            <a:solidFill>
              <a:srgbClr val="4472C4"/>
            </a:solidFill>
            <a:ln>
              <a:noFill/>
            </a:ln>
          </c:spPr>
          <c:invertIfNegative val="0"/>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showLegendKey val="0"/>
            <c:showVal val="1"/>
            <c:showCatName val="0"/>
            <c:showSerName val="0"/>
            <c:showPercent val="0"/>
            <c:showBubbleSize val="0"/>
            <c:separator>,</c:separator>
            <c:showLeaderLines val="1"/>
            <c:extLst>
              <c:ext xmlns:c15="http://schemas.microsoft.com/office/drawing/2012/chart" uri="{CE6537A1-D6FC-4f65-9D91-7224C49458BB}">
                <c15:showLeaderLines val="1"/>
              </c:ext>
            </c:extLst>
          </c:dLbls>
          <c:cat>
            <c:strRef>
              <c:f>'工作表1'!$A$2:$A$5</c:f>
              <c:strCache>
                <c:ptCount val="4"/>
                <c:pt idx="0">
                  <c:v>2024年度</c:v>
                </c:pt>
                <c:pt idx="1">
                  <c:v>2025年度</c:v>
                </c:pt>
              </c:strCache>
            </c:strRef>
          </c:cat>
          <c:val>
            <c:numRef>
              <c:f>'工作表1'!$B$2:$B$5</c:f>
              <c:numCache>
                <c:ptCount val="4"/>
                <c:pt idx="0">
                  <c:v>297.62</c:v>
                </c:pt>
              </c:numCache>
            </c:numRef>
          </c:val>
        </c:ser>
        <c:ser>
          <c:idx val="1"/>
          <c:order val="1"/>
          <c:tx>
            <c:strRef>
              <c:f>'工作表1'!$C$1</c:f>
              <c:strCache>
                <c:ptCount val="1"/>
                <c:pt idx="0">
                  <c:v>2025年度</c:v>
                </c:pt>
              </c:strCache>
            </c:strRef>
          </c:tx>
          <c:spPr>
            <a:solidFill>
              <a:srgbClr val="ED7D31"/>
            </a:solidFill>
            <a:ln>
              <a:noFill/>
            </a:ln>
          </c:spPr>
          <c:invertIfNegative val="0"/>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showLegendKey val="0"/>
            <c:showVal val="1"/>
            <c:showCatName val="0"/>
            <c:showSerName val="0"/>
            <c:showPercent val="0"/>
            <c:showBubbleSize val="0"/>
            <c:separator>,</c:separator>
            <c:showLeaderLines val="1"/>
            <c:extLst>
              <c:ext xmlns:c15="http://schemas.microsoft.com/office/drawing/2012/chart" uri="{CE6537A1-D6FC-4f65-9D91-7224C49458BB}">
                <c15:showLeaderLines val="1"/>
              </c:ext>
            </c:extLst>
          </c:dLbls>
          <c:cat>
            <c:strRef>
              <c:f>'工作表1'!$A$2:$A$5</c:f>
              <c:strCache>
                <c:ptCount val="4"/>
                <c:pt idx="0">
                  <c:v>2024年度</c:v>
                </c:pt>
                <c:pt idx="1">
                  <c:v>2025年度</c:v>
                </c:pt>
              </c:strCache>
            </c:strRef>
          </c:cat>
          <c:val>
            <c:numRef>
              <c:f>'工作表1'!$C$2:$C$5</c:f>
              <c:numCache>
                <c:ptCount val="4"/>
                <c:pt idx="1">
                  <c:v>262.88</c:v>
                </c:pt>
              </c:numCache>
            </c:numRef>
          </c:val>
        </c:ser>
        <c:ser>
          <c:idx val="2"/>
          <c:order val="2"/>
          <c:tx>
            <c:strRef>
              <c:f>'工作表1'!$D$1</c:f>
              <c:strCache>
                <c:ptCount val="1"/>
                <c:pt idx="0">
                  <c:v/>
                </c:pt>
              </c:strCache>
            </c:strRef>
          </c:tx>
          <c:spPr>
            <a:solidFill>
              <a:srgbClr val="A5A5A5"/>
            </a:solidFill>
            <a:ln>
              <a:noFill/>
            </a:ln>
          </c:spPr>
          <c:invertIfNegative val="0"/>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showLegendKey val="0"/>
            <c:showVal val="1"/>
            <c:showCatName val="0"/>
            <c:showSerName val="0"/>
            <c:showPercent val="0"/>
            <c:showBubbleSize val="0"/>
            <c:separator>,</c:separator>
            <c:showLeaderLines val="1"/>
            <c:extLst>
              <c:ext xmlns:c15="http://schemas.microsoft.com/office/drawing/2012/chart" uri="{CE6537A1-D6FC-4f65-9D91-7224C49458BB}">
                <c15:showLeaderLines val="1"/>
              </c:ext>
            </c:extLst>
          </c:dLbls>
          <c:cat>
            <c:strRef>
              <c:f>'工作表1'!$A$2:$A$5</c:f>
              <c:strCache>
                <c:ptCount val="4"/>
                <c:pt idx="0">
                  <c:v>2024年度</c:v>
                </c:pt>
                <c:pt idx="1">
                  <c:v>2025年度</c:v>
                </c:pt>
              </c:strCache>
            </c:strRef>
          </c:cat>
          <c:val>
            <c:numRef>
              <c:f>'工作表1'!$D$2:$D$5</c:f>
              <c:numCache>
                <c:ptCount val="4"/>
              </c:numCache>
            </c:numRef>
          </c:val>
        </c:ser>
        <c:gapWidth val="219"/>
        <c:axId val="0"/>
        <c:axId val="1"/>
      </c:barChart>
      <c:catAx>
        <c:axId val="0"/>
        <c:scaling>
          <c:orientation val="minMax"/>
        </c:scaling>
        <c:delete val="0"/>
        <c:axPos val="b"/>
        <c:numFmt formatCode="General" sourceLinked="1"/>
        <c:majorTickMark val="none"/>
        <c:minorTickMark val="none"/>
        <c:tickLblPos val="nextTo"/>
        <c:spPr>
          <a:ln w="12700">
            <a:solidFill>
              <a:srgbClr val="D8D8D8"/>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1270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 val="autoZero"/>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Entry>
        <c:idx val="2"/>
        <c:delete val="1"/>
      </c:legendEntry>
    </c:legend>
    <c:plotVisOnly val="1"/>
    <c:dispBlanksAs val="gap"/>
    <c:extLst>
      <c:ext uri="{56B9EC1D-385E-4148-901F-78D8002777C0}">
        <c16r3:dataDisplayOptions16 xmlns:c16r3="http://schemas.microsoft.com/office/drawing/2017/03/chart">
          <c16r3:dispNaAsBlank val="1"/>
        </c16r3:dataDisplayOptions16>
      </c:ext>
    </c:extLst>
    <c:showDLblsOverMax val="0"/>
  </c:chart>
  <c:spPr>
    <a:solidFill>
      <a:srgbClr val="FFFFFF"/>
    </a:solidFill>
    <a:ln w="1270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hPercent val="100"/>
      <c:rotY val="0"/>
      <c:depthPercent val="100"/>
      <c:rAngAx val="0"/>
      <c:perspective val="0"/>
    </c:view3D>
    <c:floor>
      <c:thickness val="0"/>
      <c:spPr>
        <a:ln>
          <a:noFill/>
        </a:ln>
      </c:spPr>
    </c:floor>
    <c:sideWall>
      <c:thickness val="0"/>
      <c:spPr>
        <a:ln>
          <a:noFill/>
        </a:ln>
      </c:spPr>
    </c:sideWall>
    <c:backWall>
      <c:thickness val="0"/>
      <c:spPr>
        <a:noFill/>
        <a:ln>
          <a:noFill/>
        </a:ln>
      </c:spPr>
    </c:backWall>
    <c:plotArea>
      <c:layout>
        <c:manualLayout>
          <c:layoutTarget val="outer"/>
          <c:xMode val="edge"/>
          <c:yMode val="edge"/>
          <c:x val="0.23927392"/>
          <c:y val="0.32790697"/>
          <c:w val="0.57425743"/>
          <c:h val="0.66511625"/>
        </c:manualLayout>
      </c:layout>
      <c:pie3DChart>
        <c:varyColors val="1"/>
        <c:ser>
          <c:idx val="0"/>
          <c:order val="0"/>
          <c:tx>
            <c:strRef>
              <c:f>'工作表1'!$B$1</c:f>
              <c:strCache>
                <c:ptCount val="1"/>
                <c:pt idx="0">
                  <c:v>系列 1</c:v>
                </c:pt>
              </c:strCache>
            </c:strRef>
          </c:tx>
          <c:spPr>
            <a:ln w="12700">
              <a:solidFill>
                <a:srgbClr val="FFFFFF"/>
              </a:solidFill>
              <a:prstDash val="solid"/>
            </a:ln>
          </c:spPr>
          <c:dPt>
            <c:idx val="0"/>
            <c:bubble3D val="0"/>
            <c:spPr>
              <a:solidFill>
                <a:srgbClr val="0070C3"/>
              </a:solidFill>
              <a:ln w="12700">
                <a:solidFill>
                  <a:srgbClr val="FFFFFF"/>
                </a:solidFill>
                <a:prstDash val="solid"/>
              </a:ln>
            </c:spPr>
          </c:dPt>
          <c:dPt>
            <c:idx val="1"/>
            <c:bubble3D val="0"/>
            <c:explosion val="27"/>
            <c:spPr>
              <a:solidFill>
                <a:srgbClr val="9BBB59"/>
              </a:solidFill>
              <a:ln w="12700">
                <a:solidFill>
                  <a:srgbClr val="FFFFFF"/>
                </a:solidFill>
                <a:prstDash val="solid"/>
              </a:ln>
            </c:spPr>
          </c:dPt>
          <c:dPt>
            <c:idx val="2"/>
            <c:bubble3D val="0"/>
            <c:explosion val="42"/>
            <c:spPr>
              <a:solidFill>
                <a:srgbClr val="F79646"/>
              </a:solidFill>
              <a:ln w="12700">
                <a:solidFill>
                  <a:srgbClr val="FFFFFF"/>
                </a:solidFill>
                <a:prstDash val="solid"/>
              </a:ln>
            </c:spPr>
          </c:dPt>
          <c:dPt>
            <c:idx val="3"/>
            <c:bubble3D val="0"/>
            <c:spPr>
              <a:solidFill>
                <a:srgbClr val="FFC000"/>
              </a:solidFill>
              <a:ln w="12700">
                <a:solidFill>
                  <a:srgbClr val="FFFFFF"/>
                </a:solidFill>
                <a:prstDash val="solid"/>
              </a:ln>
            </c:spPr>
          </c:dPt>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
              <c:idx val="0"/>
              <c:layout>
                <c:manualLayout>
                  <c:x val="-0.090759076"/>
                  <c:y val="-0.6488372"/>
                </c:manualLayout>
              </c:layout>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bestFit"/>
              <c:tx>
                <c:rich>
                  <a:bodyPr vert="horz"/>
                  <a:lstStyle/>
                  <a:p>
                    <a:pPr>
                      <a:defRPr sz="900" b="0" i="0" u="none" strike="noStrike" baseline="0">
                        <a:solidFill>
                          <a:srgbClr val="3F3F3F"/>
                        </a:solidFill>
                        <a:latin typeface="Times New Roman"/>
                        <a:ea typeface="宋体"/>
                        <a:cs typeface="Arial"/>
                      </a:defRPr>
                    </a:pPr>
                    <a:r>
                      <a:rPr lang="zh-CN"/>
                      <a:t>使用非财政拨款结余9.8%</a:t>
                    </a:r>
                  </a:p>
                </c:rich>
              </c:tx>
              <c:showLegendKey val="0"/>
              <c:showVal val="1"/>
              <c:showCatName val="0"/>
              <c:showSerName val="0"/>
              <c:showPercent val="0"/>
              <c:showBubbleSize val="0"/>
            </c:dLbl>
            <c:dLbl>
              <c:idx val="1"/>
              <c:layout>
                <c:manualLayout>
                  <c:x val="-0.031353135"/>
                  <c:y val="-0.069767445"/>
                </c:manualLayout>
              </c:layout>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bestFit"/>
              <c:tx>
                <c:rich>
                  <a:bodyPr vert="horz"/>
                  <a:lstStyle/>
                  <a:p>
                    <a:pPr>
                      <a:defRPr sz="900" b="0" i="0" u="none" strike="noStrike" baseline="0">
                        <a:solidFill>
                          <a:srgbClr val="3F3F3F"/>
                        </a:solidFill>
                        <a:latin typeface="Times New Roman"/>
                        <a:ea typeface="宋体"/>
                        <a:cs typeface="Arial"/>
                      </a:defRPr>
                    </a:pPr>
                    <a:r>
                      <a:rPr lang="zh-CN"/>
                      <a:t>其他收入0.1%</a:t>
                    </a:r>
                  </a:p>
                </c:rich>
              </c:tx>
              <c:showLegendKey val="0"/>
              <c:showVal val="1"/>
              <c:showCatName val="0"/>
              <c:showSerName val="0"/>
              <c:showPercent val="0"/>
              <c:showBubbleSize val="0"/>
            </c:dLbl>
            <c:dLbl>
              <c:idx val="2"/>
              <c:layout>
                <c:manualLayout>
                  <c:x val="0.5049505"/>
                  <c:y val="0.38372093"/>
                </c:manualLayout>
              </c:layout>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bestFit"/>
              <c:tx>
                <c:rich>
                  <a:bodyPr vert="horz"/>
                  <a:lstStyle/>
                  <a:p>
                    <a:pPr>
                      <a:defRPr sz="900" b="0" i="0" u="none" strike="noStrike" baseline="0">
                        <a:solidFill>
                          <a:srgbClr val="3F3F3F"/>
                        </a:solidFill>
                        <a:latin typeface="Times New Roman"/>
                        <a:ea typeface="宋体"/>
                        <a:cs typeface="Arial"/>
                      </a:defRPr>
                    </a:pPr>
                    <a:r>
                      <a:rPr lang="zh-CN"/>
                      <a:t>事业收入90.1%</a:t>
                    </a:r>
                  </a:p>
                </c:rich>
              </c:tx>
              <c:showLegendKey val="0"/>
              <c:showVal val="1"/>
              <c:showCatName val="0"/>
              <c:showSerName val="0"/>
              <c:showPercent val="0"/>
              <c:showBubbleSize val="0"/>
            </c:dLbl>
            <c:dLbl>
              <c:idx val="3"/>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inEnd"/>
              <c:showLegendKey val="0"/>
              <c:showVal val="1"/>
              <c:showCatName val="0"/>
              <c:showSerName val="0"/>
              <c:showPercent val="0"/>
              <c:showBubbleSize val="0"/>
            </c:dLbl>
            <c:dLblPos val="inEnd"/>
            <c:showLegendKey val="0"/>
            <c:showVal val="1"/>
            <c:showCatName val="0"/>
            <c:showSerName val="0"/>
            <c:showPercent val="0"/>
            <c:showBubbleSize val="0"/>
            <c:showLeaderLines val="1"/>
          </c:dLbls>
          <c:cat>
            <c:strRef>
              <c:f>'工作表1'!$A$2:$A$5</c:f>
              <c:strCache>
                <c:ptCount val="4"/>
                <c:pt idx="0">
                  <c:v>事业收入</c:v>
                </c:pt>
                <c:pt idx="1">
                  <c:v>其他收入</c:v>
                </c:pt>
                <c:pt idx="2">
                  <c:v>使用非财政拨款结余</c:v>
                </c:pt>
              </c:strCache>
            </c:strRef>
          </c:cat>
          <c:val>
            <c:numRef>
              <c:f>'工作表1'!$B$2:$B$5</c:f>
              <c:numCache>
                <c:formatCode>0.0%</c:formatCode>
                <c:ptCount val="4"/>
                <c:pt idx="0">
                  <c:v>0.9009999999999999</c:v>
                </c:pt>
                <c:pt idx="1">
                  <c:v>0.001</c:v>
                </c:pt>
                <c:pt idx="2">
                  <c:v>0.098</c:v>
                </c:pt>
              </c:numCache>
            </c:numRef>
          </c:val>
        </c:ser>
        <c:ser>
          <c:idx val="1"/>
          <c:order val="1"/>
          <c:tx>
            <c:strRef>
              <c:f>'工作表1'!$C$1</c:f>
              <c:strCache>
                <c:ptCount val="1"/>
                <c:pt idx="0">
                  <c:v/>
                </c:pt>
              </c:strCache>
            </c:strRef>
          </c:tx>
          <c:spPr>
            <a:ln w="12700">
              <a:solidFill>
                <a:srgbClr val="FFFFFF"/>
              </a:solidFill>
              <a:prstDash val="solid"/>
            </a:ln>
          </c:spPr>
          <c:dPt>
            <c:idx val="0"/>
            <c:invertIfNegative val="0"/>
            <c:bubble3D val="0"/>
            <c:spPr>
              <a:ln w="12700">
                <a:solidFill>
                  <a:srgbClr val="FFFFFF"/>
                </a:solidFill>
                <a:prstDash val="solid"/>
              </a:ln>
            </c:spPr>
          </c:dPt>
          <c:dPt>
            <c:idx val="1"/>
            <c:invertIfNegative val="0"/>
            <c:bubble3D val="0"/>
            <c:spPr>
              <a:ln w="12700">
                <a:solidFill>
                  <a:srgbClr val="FFFFFF"/>
                </a:solidFill>
                <a:prstDash val="solid"/>
              </a:ln>
            </c:spPr>
          </c:dPt>
          <c:dPt>
            <c:idx val="2"/>
            <c:invertIfNegative val="0"/>
            <c:bubble3D val="0"/>
            <c:spPr>
              <a:ln w="12700">
                <a:solidFill>
                  <a:srgbClr val="FFFFFF"/>
                </a:solidFill>
                <a:prstDash val="solid"/>
              </a:ln>
            </c:spPr>
          </c:dPt>
          <c:dPt>
            <c:idx val="3"/>
            <c:invertIfNegative val="0"/>
            <c:bubble3D val="0"/>
            <c:spPr>
              <a:ln w="12700">
                <a:solidFill>
                  <a:srgbClr val="FFFFFF"/>
                </a:solidFill>
                <a:prstDash val="solid"/>
              </a:ln>
            </c:spPr>
          </c:dPt>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inEnd"/>
            <c:showLegendKey val="0"/>
            <c:showVal val="1"/>
            <c:showCatName val="0"/>
            <c:showSerName val="0"/>
            <c:showPercent val="0"/>
            <c:showBubbleSize val="0"/>
            <c:showLeaderLines val="1"/>
          </c:dLbls>
          <c:cat>
            <c:strRef>
              <c:f>'工作表1'!$A$2:$A$5</c:f>
              <c:strCache>
                <c:ptCount val="4"/>
                <c:pt idx="0">
                  <c:v>事业收入</c:v>
                </c:pt>
                <c:pt idx="1">
                  <c:v>其他收入</c:v>
                </c:pt>
                <c:pt idx="2">
                  <c:v>使用非财政拨款结余</c:v>
                </c:pt>
              </c:strCache>
            </c:strRef>
          </c:cat>
          <c:val>
            <c:numRef>
              <c:f>'工作表1'!$C$2:$C$5</c:f>
              <c:numCache>
                <c:formatCode>General</c:formatCode>
                <c:ptCount val="4"/>
              </c:numCache>
            </c:numRef>
          </c:val>
        </c:ser>
        <c:ser>
          <c:idx val="2"/>
          <c:order val="2"/>
          <c:tx>
            <c:strRef>
              <c:f>'工作表1'!$D$1</c:f>
              <c:strCache>
                <c:ptCount val="1"/>
                <c:pt idx="0">
                  <c:v/>
                </c:pt>
              </c:strCache>
            </c:strRef>
          </c:tx>
          <c:spPr>
            <a:ln w="12700">
              <a:solidFill>
                <a:srgbClr val="FFFFFF"/>
              </a:solidFill>
              <a:prstDash val="solid"/>
            </a:ln>
          </c:spPr>
          <c:dPt>
            <c:idx val="0"/>
            <c:invertIfNegative val="0"/>
            <c:bubble3D val="0"/>
            <c:spPr>
              <a:ln w="12700">
                <a:solidFill>
                  <a:srgbClr val="FFFFFF"/>
                </a:solidFill>
                <a:prstDash val="solid"/>
              </a:ln>
            </c:spPr>
          </c:dPt>
          <c:dPt>
            <c:idx val="1"/>
            <c:invertIfNegative val="0"/>
            <c:bubble3D val="0"/>
            <c:spPr>
              <a:ln w="12700">
                <a:solidFill>
                  <a:srgbClr val="FFFFFF"/>
                </a:solidFill>
                <a:prstDash val="solid"/>
              </a:ln>
            </c:spPr>
          </c:dPt>
          <c:dPt>
            <c:idx val="2"/>
            <c:invertIfNegative val="0"/>
            <c:bubble3D val="0"/>
            <c:spPr>
              <a:ln w="12700">
                <a:solidFill>
                  <a:srgbClr val="FFFFFF"/>
                </a:solidFill>
                <a:prstDash val="solid"/>
              </a:ln>
            </c:spPr>
          </c:dPt>
          <c:dPt>
            <c:idx val="3"/>
            <c:invertIfNegative val="0"/>
            <c:bubble3D val="0"/>
            <c:spPr>
              <a:ln w="12700">
                <a:solidFill>
                  <a:srgbClr val="FFFFFF"/>
                </a:solidFill>
                <a:prstDash val="solid"/>
              </a:ln>
            </c:spPr>
          </c:dPt>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inEnd"/>
            <c:showLegendKey val="0"/>
            <c:showVal val="1"/>
            <c:showCatName val="0"/>
            <c:showSerName val="0"/>
            <c:showPercent val="0"/>
            <c:showBubbleSize val="0"/>
            <c:showLeaderLines val="1"/>
          </c:dLbls>
          <c:cat>
            <c:strRef>
              <c:f>'工作表1'!$A$2:$A$5</c:f>
              <c:strCache>
                <c:ptCount val="4"/>
                <c:pt idx="0">
                  <c:v>事业收入</c:v>
                </c:pt>
                <c:pt idx="1">
                  <c:v>其他收入</c:v>
                </c:pt>
                <c:pt idx="2">
                  <c:v>使用非财政拨款结余</c:v>
                </c:pt>
              </c:strCache>
            </c:strRef>
          </c:cat>
          <c:val>
            <c:numRef>
              <c:f>'工作表1'!$D$2:$D$5</c:f>
              <c:numCache>
                <c:formatCode>General</c:formatCode>
                <c:ptCount val="4"/>
              </c:numCache>
            </c:numRef>
          </c:val>
        </c:ser>
        <c:gapDepth val="150"/>
        <c:firstSliceAng val="0"/>
      </c:pie3D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extLst>
      <c:ext uri="{56B9EC1D-385E-4148-901F-78D8002777C0}">
        <c16r3:dataDisplayOptions16 xmlns:c16r3="http://schemas.microsoft.com/office/drawing/2017/03/chart">
          <c16r3:dispNaAsBlank val="1"/>
        </c16r3:dataDisplayOptions16>
      </c:ext>
    </c:extLst>
    <c:showDLblsOverMax val="0"/>
  </c:chart>
  <c:spPr>
    <a:solidFill>
      <a:srgbClr val="FFFFFF"/>
    </a:solidFill>
    <a:ln w="1270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400" b="0" i="0" u="none" strike="noStrike" baseline="0">
                <a:solidFill>
                  <a:srgbClr val="595959"/>
                </a:solidFill>
                <a:latin typeface="Times New Roman"/>
                <a:ea typeface="宋体"/>
                <a:cs typeface="Arial"/>
              </a:defRPr>
            </a:pPr>
            <a:r>
              <a:rPr lang="zh-CN"/>
              <a:t>	</a:t>
            </a:r>
          </a:p>
        </c:rich>
      </c:tx>
      <c:layout/>
      <c:overlay val="0"/>
      <c:spPr>
        <a:ln>
          <a:noFill/>
        </a:ln>
      </c:spPr>
    </c:title>
    <c:autoTitleDeleted val="1"/>
    <c:view3D>
      <c:rotX val="30"/>
      <c:hPercent val="100"/>
      <c:rotY val="0"/>
      <c:depthPercent val="100"/>
      <c:rAngAx val="0"/>
      <c:perspective val="0"/>
    </c:view3D>
    <c:floor>
      <c:thickness val="0"/>
      <c:spPr>
        <a:ln>
          <a:noFill/>
        </a:ln>
      </c:spPr>
    </c:floor>
    <c:sideWall>
      <c:thickness val="0"/>
      <c:spPr>
        <a:ln>
          <a:noFill/>
        </a:ln>
      </c:spPr>
    </c:sideWall>
    <c:backWall>
      <c:thickness val="0"/>
      <c:spPr>
        <a:noFill/>
        <a:ln>
          <a:noFill/>
        </a:ln>
      </c:spPr>
    </c:backWall>
    <c:plotArea>
      <c:layout/>
      <c:pie3DChart>
        <c:varyColors val="1"/>
        <c:ser>
          <c:idx val="0"/>
          <c:order val="0"/>
          <c:tx>
            <c:strRef>
              <c:f>'工作表1'!$B$1</c:f>
              <c:strCache>
                <c:ptCount val="1"/>
                <c:pt idx="0">
                  <c:v/>
                </c:pt>
              </c:strCache>
            </c:strRef>
          </c:tx>
          <c:spPr>
            <a:ln w="12700">
              <a:solidFill>
                <a:srgbClr val="FFFFFF"/>
              </a:solidFill>
              <a:prstDash val="solid"/>
            </a:ln>
          </c:spPr>
          <c:explosion val="25"/>
          <c:dPt>
            <c:idx val="0"/>
            <c:bubble3D val="0"/>
            <c:spPr>
              <a:solidFill>
                <a:srgbClr val="4472C4"/>
              </a:solidFill>
              <a:ln w="12700">
                <a:solidFill>
                  <a:srgbClr val="FFFFFF"/>
                </a:solidFill>
                <a:prstDash val="solid"/>
              </a:ln>
            </c:spPr>
          </c:dPt>
          <c:dPt>
            <c:idx val="1"/>
            <c:bubble3D val="0"/>
            <c:spPr>
              <a:solidFill>
                <a:srgbClr val="ED7D31"/>
              </a:solidFill>
              <a:ln w="12700">
                <a:solidFill>
                  <a:srgbClr val="FFFFFF"/>
                </a:solidFill>
                <a:prstDash val="solid"/>
              </a:ln>
            </c:spPr>
          </c:dPt>
          <c:dPt>
            <c:idx val="2"/>
            <c:bubble3D val="0"/>
            <c:spPr>
              <a:solidFill>
                <a:srgbClr val="A5A5A5"/>
              </a:solidFill>
              <a:ln w="12700">
                <a:solidFill>
                  <a:srgbClr val="FFFFFF"/>
                </a:solidFill>
                <a:prstDash val="solid"/>
              </a:ln>
            </c:spPr>
          </c:dPt>
          <c:dPt>
            <c:idx val="3"/>
            <c:bubble3D val="0"/>
            <c:spPr>
              <a:solidFill>
                <a:srgbClr val="FFC000"/>
              </a:solidFill>
              <a:ln w="12700">
                <a:solidFill>
                  <a:srgbClr val="FFFFFF"/>
                </a:solidFill>
                <a:prstDash val="solid"/>
              </a:ln>
            </c:spPr>
          </c:dPt>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
              <c:idx val="0"/>
              <c:layout>
                <c:manualLayout>
                  <c:x val="0.13381556"/>
                  <c:y val="-0.028328612"/>
                </c:manualLayout>
              </c:layout>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bestFit"/>
              <c:tx>
                <c:rich>
                  <a:bodyPr vert="horz"/>
                  <a:lstStyle/>
                  <a:p>
                    <a:pPr>
                      <a:defRPr sz="900" b="0" i="0" u="none" strike="noStrike" baseline="0">
                        <a:solidFill>
                          <a:srgbClr val="3F3F3F"/>
                        </a:solidFill>
                        <a:latin typeface="Times New Roman"/>
                        <a:ea typeface="宋体"/>
                        <a:cs typeface="Arial"/>
                      </a:defRPr>
                    </a:pPr>
                    <a:r>
                      <a:rPr lang="zh-CN"/>
                      <a:t>一般公共服务支出88.3%</a:t>
                    </a:r>
                  </a:p>
                </c:rich>
              </c:tx>
              <c:showLegendKey val="0"/>
              <c:showVal val="1"/>
              <c:showCatName val="0"/>
              <c:showSerName val="0"/>
              <c:showPercent val="0"/>
              <c:showBubbleSize val="0"/>
            </c:dLbl>
            <c:dLbl>
              <c:idx val="1"/>
              <c:layout>
                <c:manualLayout>
                  <c:x val="-0.10669078"/>
                  <c:y val="-0.07932011"/>
                </c:manualLayout>
              </c:layout>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bestFit"/>
              <c:tx>
                <c:rich>
                  <a:bodyPr vert="horz"/>
                  <a:lstStyle/>
                  <a:p>
                    <a:pPr>
                      <a:defRPr sz="900" b="0" i="0" u="none" strike="noStrike" baseline="0">
                        <a:solidFill>
                          <a:srgbClr val="3F3F3F"/>
                        </a:solidFill>
                        <a:latin typeface="Times New Roman"/>
                        <a:ea typeface="宋体"/>
                        <a:cs typeface="Arial"/>
                      </a:defRPr>
                    </a:pPr>
                    <a:r>
                      <a:rPr lang="zh-CN"/>
                      <a:t>社会保障和就业支5.2%</a:t>
                    </a:r>
                  </a:p>
                </c:rich>
              </c:tx>
              <c:showLegendKey val="0"/>
              <c:showVal val="1"/>
              <c:showCatName val="0"/>
              <c:showSerName val="0"/>
              <c:showPercent val="0"/>
              <c:showBubbleSize val="0"/>
            </c:dLbl>
            <c:dLbl>
              <c:idx val="2"/>
              <c:layout>
                <c:manualLayout>
                  <c:x val="0.031849068"/>
                  <c:y val="-0.23147929"/>
                </c:manualLayout>
              </c:layout>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bestFit"/>
              <c:tx>
                <c:rich>
                  <a:bodyPr vert="horz"/>
                  <a:lstStyle/>
                  <a:p>
                    <a:pPr>
                      <a:defRPr sz="900" b="0" i="0" u="none" strike="noStrike" baseline="0">
                        <a:solidFill>
                          <a:srgbClr val="3F3F3F"/>
                        </a:solidFill>
                        <a:latin typeface="Times New Roman"/>
                        <a:ea typeface="宋体"/>
                        <a:cs typeface="Arial"/>
                      </a:defRPr>
                    </a:pPr>
                    <a:r>
                      <a:rPr lang="zh-CN"/>
                      <a:t>卫生健康支出2.5%</a:t>
                    </a:r>
                  </a:p>
                </c:rich>
              </c:tx>
              <c:showLegendKey val="0"/>
              <c:showVal val="1"/>
              <c:showCatName val="0"/>
              <c:showSerName val="0"/>
              <c:showPercent val="0"/>
              <c:showBubbleSize val="0"/>
            </c:dLbl>
            <c:dLbl>
              <c:idx val="3"/>
              <c:layout>
                <c:manualLayout>
                  <c:x val="0.084990956"/>
                  <c:y val="-0.059490085"/>
                </c:manualLayout>
              </c:layout>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bestFit"/>
              <c:tx>
                <c:rich>
                  <a:bodyPr vert="horz"/>
                  <a:lstStyle/>
                  <a:p>
                    <a:pPr>
                      <a:defRPr sz="900" b="0" i="0" u="none" strike="noStrike" baseline="0">
                        <a:solidFill>
                          <a:srgbClr val="3F3F3F"/>
                        </a:solidFill>
                        <a:latin typeface="Times New Roman"/>
                        <a:ea typeface="宋体"/>
                        <a:cs typeface="Arial"/>
                      </a:defRPr>
                    </a:pPr>
                    <a:r>
                      <a:rPr lang="zh-CN"/>
                      <a:t>住房保障支出4%</a:t>
                    </a:r>
                  </a:p>
                </c:rich>
              </c:tx>
              <c:showLegendKey val="0"/>
              <c:showVal val="1"/>
              <c:showCatName val="0"/>
              <c:showSerName val="0"/>
              <c:showPercent val="0"/>
              <c:showBubbleSize val="0"/>
            </c:dLbl>
            <c:dLblPos val="inEnd"/>
            <c:showLegendKey val="0"/>
            <c:showVal val="1"/>
            <c:showCatName val="0"/>
            <c:showSerName val="0"/>
            <c:showPercent val="0"/>
            <c:showBubbleSize val="0"/>
            <c:showLeaderLines val="1"/>
          </c:dLbls>
          <c:cat>
            <c:strRef>
              <c:f>'工作表1'!$A$2:$A$5</c:f>
              <c:strCache>
                <c:ptCount val="4"/>
                <c:pt idx="0">
                  <c:v>一般公共服务支出</c:v>
                </c:pt>
                <c:pt idx="1">
                  <c:v>社会保障和就业支出</c:v>
                </c:pt>
                <c:pt idx="2">
                  <c:v>卫生健康支出</c:v>
                </c:pt>
                <c:pt idx="3">
                  <c:v>住房保障支出</c:v>
                </c:pt>
              </c:strCache>
            </c:strRef>
          </c:cat>
          <c:val>
            <c:numRef>
              <c:f>'工作表1'!$B$2:$B$5</c:f>
              <c:numCache>
                <c:formatCode>0.0%</c:formatCode>
                <c:ptCount val="4"/>
                <c:pt idx="0">
                  <c:v>0.883</c:v>
                </c:pt>
                <c:pt idx="1">
                  <c:v>0.052000000000000005</c:v>
                </c:pt>
                <c:pt idx="2">
                  <c:v>0.025</c:v>
                </c:pt>
                <c:pt idx="3" formatCode="0%">
                  <c:v>0.04</c:v>
                </c:pt>
              </c:numCache>
            </c:numRef>
          </c:val>
        </c:ser>
        <c:ser>
          <c:idx val="1"/>
          <c:order val="1"/>
          <c:tx>
            <c:strRef>
              <c:f>'工作表1'!$C$1</c:f>
              <c:strCache>
                <c:ptCount val="1"/>
                <c:pt idx="0">
                  <c:v/>
                </c:pt>
              </c:strCache>
            </c:strRef>
          </c:tx>
          <c:spPr>
            <a:ln w="12700">
              <a:solidFill>
                <a:srgbClr val="FFFFFF"/>
              </a:solidFill>
              <a:prstDash val="solid"/>
            </a:ln>
          </c:spPr>
          <c:explosion val="25"/>
          <c:dPt>
            <c:idx val="0"/>
            <c:invertIfNegative val="0"/>
            <c:bubble3D val="0"/>
            <c:spPr>
              <a:ln w="12700">
                <a:solidFill>
                  <a:srgbClr val="FFFFFF"/>
                </a:solidFill>
                <a:prstDash val="solid"/>
              </a:ln>
            </c:spPr>
          </c:dPt>
          <c:dPt>
            <c:idx val="1"/>
            <c:invertIfNegative val="0"/>
            <c:bubble3D val="0"/>
            <c:spPr>
              <a:ln w="12700">
                <a:solidFill>
                  <a:srgbClr val="FFFFFF"/>
                </a:solidFill>
                <a:prstDash val="solid"/>
              </a:ln>
            </c:spPr>
          </c:dPt>
          <c:dPt>
            <c:idx val="2"/>
            <c:invertIfNegative val="0"/>
            <c:bubble3D val="0"/>
            <c:spPr>
              <a:ln w="12700">
                <a:solidFill>
                  <a:srgbClr val="FFFFFF"/>
                </a:solidFill>
                <a:prstDash val="solid"/>
              </a:ln>
            </c:spPr>
          </c:dPt>
          <c:dPt>
            <c:idx val="3"/>
            <c:invertIfNegative val="0"/>
            <c:bubble3D val="0"/>
            <c:spPr>
              <a:ln w="12700">
                <a:solidFill>
                  <a:srgbClr val="FFFFFF"/>
                </a:solidFill>
                <a:prstDash val="solid"/>
              </a:ln>
            </c:spPr>
          </c:dPt>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inEnd"/>
            <c:showLegendKey val="0"/>
            <c:showVal val="1"/>
            <c:showCatName val="0"/>
            <c:showSerName val="0"/>
            <c:showPercent val="0"/>
            <c:showBubbleSize val="0"/>
            <c:showLeaderLines val="1"/>
          </c:dLbls>
          <c:cat>
            <c:strRef>
              <c:f>'工作表1'!$A$2:$A$5</c:f>
              <c:strCache>
                <c:ptCount val="4"/>
                <c:pt idx="0">
                  <c:v>一般公共服务支出</c:v>
                </c:pt>
                <c:pt idx="1">
                  <c:v>社会保障和就业支出</c:v>
                </c:pt>
                <c:pt idx="2">
                  <c:v>卫生健康支出</c:v>
                </c:pt>
                <c:pt idx="3">
                  <c:v>住房保障支出</c:v>
                </c:pt>
              </c:strCache>
            </c:strRef>
          </c:cat>
          <c:val>
            <c:numRef>
              <c:f>'工作表1'!$C$2:$C$5</c:f>
              <c:numCache>
                <c:formatCode>General</c:formatCode>
                <c:ptCount val="4"/>
              </c:numCache>
            </c:numRef>
          </c:val>
        </c:ser>
        <c:ser>
          <c:idx val="2"/>
          <c:order val="2"/>
          <c:tx>
            <c:strRef>
              <c:f>'工作表1'!$D$1</c:f>
              <c:strCache>
                <c:ptCount val="1"/>
                <c:pt idx="0">
                  <c:v/>
                </c:pt>
              </c:strCache>
            </c:strRef>
          </c:tx>
          <c:spPr>
            <a:ln w="12700">
              <a:solidFill>
                <a:srgbClr val="FFFFFF"/>
              </a:solidFill>
              <a:prstDash val="solid"/>
            </a:ln>
          </c:spPr>
          <c:explosion val="25"/>
          <c:dPt>
            <c:idx val="0"/>
            <c:invertIfNegative val="0"/>
            <c:bubble3D val="0"/>
            <c:spPr>
              <a:ln w="12700">
                <a:solidFill>
                  <a:srgbClr val="FFFFFF"/>
                </a:solidFill>
                <a:prstDash val="solid"/>
              </a:ln>
            </c:spPr>
          </c:dPt>
          <c:dPt>
            <c:idx val="1"/>
            <c:invertIfNegative val="0"/>
            <c:bubble3D val="0"/>
            <c:spPr>
              <a:ln w="12700">
                <a:solidFill>
                  <a:srgbClr val="FFFFFF"/>
                </a:solidFill>
                <a:prstDash val="solid"/>
              </a:ln>
            </c:spPr>
          </c:dPt>
          <c:dPt>
            <c:idx val="2"/>
            <c:invertIfNegative val="0"/>
            <c:bubble3D val="0"/>
            <c:spPr>
              <a:ln w="12700">
                <a:solidFill>
                  <a:srgbClr val="FFFFFF"/>
                </a:solidFill>
                <a:prstDash val="solid"/>
              </a:ln>
            </c:spPr>
          </c:dPt>
          <c:dPt>
            <c:idx val="3"/>
            <c:invertIfNegative val="0"/>
            <c:bubble3D val="0"/>
            <c:spPr>
              <a:ln w="12700">
                <a:solidFill>
                  <a:srgbClr val="FFFFFF"/>
                </a:solidFill>
                <a:prstDash val="solid"/>
              </a:ln>
            </c:spPr>
          </c:dPt>
          <c:dLbls>
            <c:spPr>
              <a:noFill/>
              <a:ln>
                <a:noFill/>
              </a:ln>
            </c:spPr>
            <c:txPr>
              <a:bodyPr vert="horz" anchor="ctr"/>
              <a:lstStyle/>
              <a:p>
                <a:pPr algn="ctr">
                  <a:defRPr sz="900" b="0" i="0" u="none" strike="noStrike" baseline="0">
                    <a:solidFill>
                      <a:srgbClr val="3F3F3F"/>
                    </a:solidFill>
                    <a:latin typeface="Times New Roman"/>
                    <a:ea typeface="宋体"/>
                    <a:cs typeface="Arial"/>
                  </a:defRPr>
                </a:pPr>
                <a:endParaRPr lang="zh-CN"/>
              </a:p>
            </c:txPr>
            <c:dLblPos val="inEnd"/>
            <c:showLegendKey val="0"/>
            <c:showVal val="1"/>
            <c:showCatName val="0"/>
            <c:showSerName val="0"/>
            <c:showPercent val="0"/>
            <c:showBubbleSize val="0"/>
            <c:showLeaderLines val="1"/>
          </c:dLbls>
          <c:cat>
            <c:strRef>
              <c:f>'工作表1'!$A$2:$A$5</c:f>
              <c:strCache>
                <c:ptCount val="4"/>
                <c:pt idx="0">
                  <c:v>一般公共服务支出</c:v>
                </c:pt>
                <c:pt idx="1">
                  <c:v>社会保障和就业支出</c:v>
                </c:pt>
                <c:pt idx="2">
                  <c:v>卫生健康支出</c:v>
                </c:pt>
                <c:pt idx="3">
                  <c:v>住房保障支出</c:v>
                </c:pt>
              </c:strCache>
            </c:strRef>
          </c:cat>
          <c:val>
            <c:numRef>
              <c:f>'工作表1'!$D$2:$D$5</c:f>
              <c:numCache>
                <c:formatCode>General</c:formatCode>
                <c:ptCount val="4"/>
              </c:numCache>
            </c:numRef>
          </c:val>
        </c:ser>
        <c:gapDepth val="150"/>
        <c:firstSliceAng val="0"/>
      </c:pie3D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extLst>
      <c:ext uri="{56B9EC1D-385E-4148-901F-78D8002777C0}">
        <c16r3:dataDisplayOptions16 xmlns:c16r3="http://schemas.microsoft.com/office/drawing/2017/03/chart">
          <c16r3:dispNaAsBlank val="1"/>
        </c16r3:dataDisplayOptions16>
      </c:ext>
    </c:extLst>
    <c:showDLblsOverMax val="0"/>
  </c:chart>
  <c:spPr>
    <a:solidFill>
      <a:srgbClr val="FFFFFF"/>
    </a:solidFill>
    <a:ln w="1270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customProps>
</customData>
</file>

<file path=customXml/itemProps1.xml><?xml version="1.0" encoding="utf-8"?>
<ds:datastoreItem xmlns:ds="http://schemas.openxmlformats.org/officeDocument/2006/customXml" ds:itemID="{191CB709-0450-4872-9D9C-0B555B2C0B1B}">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3360</TotalTime>
  <Application>Yozo_Office9.0.7297.102ZH</Application>
  <Pages>26</Pages>
  <Words>0</Words>
  <Characters>6462</Characters>
  <Lines>0</Lines>
  <Paragraphs>208</Paragraphs>
  <CharactersWithSpaces>8616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王亚玲</cp:lastModifiedBy>
  <cp:revision>18</cp:revision>
  <dcterms:created xsi:type="dcterms:W3CDTF">2023-11-29T03:14:00Z</dcterms:created>
  <dcterms:modified xsi:type="dcterms:W3CDTF">2026-08-10T06:12:54Z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ICV">
    <vt:lpwstr>B6C857D0DB6641209408A58E56A6A9B6</vt:lpwstr>
  </property>
  <property fmtid="{D5CDD505-2E9C-101B-9397-08002B2CF9AE}" pid="3" name="KSOProductBuildVer">
    <vt:lpwstr>2052-11.8.2.12085</vt:lpwstr>
  </property>
</Properties>
</file>