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23"/>
        <w:spacing w:line="580" w:lineRule="exact"/>
        <w:ind w:left="0"/>
        <w:jc w:val="center"/>
        <w:rPr>
          <w:rFonts w:eastAsia="方正小标宋_GBK"/>
          <w:color w:val="auto"/>
          <w:sz w:val="44"/>
          <w:szCs w:val="44"/>
          <w:lang w:bidi="ar-SA"/>
        </w:rPr>
      </w:pPr>
      <w:r>
        <w:rPr>
          <w:rFonts w:eastAsia="方正小标宋_GBK"/>
          <w:color w:val="auto"/>
          <w:sz w:val="44"/>
          <w:szCs w:val="44"/>
          <w:lang w:bidi="ar-SA"/>
        </w:rPr>
        <w:t>太原海关关区2024年政府信息公开</w:t>
      </w:r>
    </w:p>
    <w:p>
      <w:pPr>
        <w:pStyle w:val="123"/>
        <w:spacing w:line="580" w:lineRule="exact"/>
        <w:ind w:left="0"/>
        <w:jc w:val="center"/>
        <w:rPr>
          <w:rFonts w:eastAsia="方正小标宋_GBK"/>
          <w:color w:val="auto"/>
          <w:sz w:val="44"/>
          <w:szCs w:val="44"/>
          <w:lang w:bidi="ar-SA"/>
        </w:rPr>
      </w:pPr>
      <w:r>
        <w:rPr>
          <w:rFonts w:eastAsia="方正小标宋_GBK"/>
          <w:color w:val="auto"/>
          <w:sz w:val="44"/>
          <w:szCs w:val="44"/>
          <w:lang w:bidi="ar-SA"/>
        </w:rPr>
        <w:t>工作年度报告</w:t>
      </w:r>
    </w:p>
    <w:p>
      <w:pPr>
        <w:spacing w:line="580" w:lineRule="exact"/>
        <w:ind w:left="0"/>
        <w:jc w:val="center"/>
        <w:rPr>
          <w:rFonts w:eastAsia="宋体"/>
          <w:color w:val="auto"/>
          <w:sz w:val="20"/>
          <w:szCs w:val="28"/>
          <w:lang w:bidi="ar-SA"/>
        </w:rPr>
      </w:pPr>
    </w:p>
    <w:p>
      <w:pPr>
        <w:pStyle w:val="124"/>
        <w:adjustRightInd w:val="0"/>
        <w:snapToGrid w:val="0"/>
        <w:ind w:firstLineChars="200" w:firstLine="616"/>
        <w:rPr>
          <w:rFonts w:eastAsia="方正仿宋_GBK"/>
          <w:szCs w:val="32"/>
          <w:lang w:bidi="ar-SA"/>
        </w:rPr>
      </w:pPr>
      <w:r>
        <w:rPr>
          <w:rFonts w:eastAsia="方正仿宋_GBK"/>
          <w:szCs w:val="32"/>
          <w:lang w:bidi="ar-SA"/>
        </w:rPr>
        <w:t>本报告根据《中华人民共和国政府信息公开条例》《国务院办公厅政府信息与政务公开办公室关于政府信息公开工作年度报告有关事项的通知》等规定，梳理2024年度太原海关关区政府信息公开工作情况编制而成。报告中所有项目数据统计时间为2024年1月1日至12月31日。本报告的电子版可在</w:t>
      </w:r>
      <w:r>
        <w:rPr>
          <w:rFonts w:ascii="方正仿宋_GBK" w:eastAsia="方正仿宋_GBK" w:hint="eastAsia"/>
          <w:szCs w:val="32"/>
          <w:lang w:bidi="ar-SA"/>
        </w:rPr>
        <w:t>“</w:t>
      </w:r>
      <w:r>
        <w:rPr>
          <w:rFonts w:eastAsia="方正仿宋_GBK"/>
          <w:szCs w:val="32"/>
          <w:lang w:bidi="ar-SA"/>
        </w:rPr>
        <w:t>太原海关门户网站</w:t>
      </w:r>
      <w:r>
        <w:rPr>
          <w:rFonts w:ascii="方正仿宋_GBK" w:eastAsia="方正仿宋_GBK" w:hint="eastAsia"/>
          <w:szCs w:val="32"/>
          <w:lang w:bidi="ar-SA"/>
        </w:rPr>
        <w:t>”</w:t>
      </w:r>
      <w:r>
        <w:rPr>
          <w:rFonts w:eastAsia="方正仿宋_GBK"/>
          <w:szCs w:val="32"/>
          <w:lang w:bidi="ar-SA"/>
        </w:rPr>
        <w:t>（http://taiyuan.customs.gov.cn/）下载。如对本报告有任何疑问或意见、建议，请与太原海关办公室信息宣传科联系，电话：0351—7119137。</w:t>
      </w:r>
    </w:p>
    <w:p>
      <w:pPr>
        <w:pStyle w:val="125"/>
        <w:widowControl/>
        <w:shd w:val="clear" w:color="auto" w:fill="FFFFFF"/>
        <w:adjustRightInd w:val="0"/>
        <w:snapToGrid w:val="0"/>
        <w:spacing w:beforeAutospacing="0" w:afterAutospacing="0" w:line="560" w:lineRule="exact"/>
        <w:ind w:firstLineChars="200" w:firstLine="632"/>
        <w:jc w:val="both"/>
        <w:rPr>
          <w:rFonts w:eastAsia="方正黑体_GBK"/>
          <w:bCs/>
          <w:color w:val="auto"/>
          <w:sz w:val="32"/>
          <w:szCs w:val="32"/>
          <w:shd w:val="clear" w:color="auto" w:fill="FFFFFF"/>
          <w:lang w:bidi="ar-SA"/>
        </w:rPr>
      </w:pPr>
      <w:r>
        <w:rPr>
          <w:rFonts w:eastAsia="方正黑体_GBK"/>
          <w:bCs/>
          <w:color w:val="auto"/>
          <w:sz w:val="32"/>
          <w:szCs w:val="32"/>
          <w:shd w:val="clear" w:color="auto" w:fill="FFFFFF"/>
          <w:lang w:bidi="ar-SA"/>
        </w:rPr>
        <w:t>一、总体情况</w:t>
      </w:r>
    </w:p>
    <w:p>
      <w:pPr>
        <w:pStyle w:val="126"/>
        <w:tabs>
          <w:tab w:val="center" w:pos="4153"/>
          <w:tab w:val="right" w:pos="8306"/>
        </w:tabs>
        <w:adjustRightInd/>
        <w:snapToGrid w:val="0"/>
        <w:spacing w:line="560" w:lineRule="exact"/>
        <w:ind w:firstLineChars="200" w:firstLine="616"/>
        <w:contextualSpacing w:val="0"/>
        <w:jc w:val="both"/>
        <w:rPr>
          <w:spacing w:val="-4"/>
          <w:sz w:val="32"/>
          <w:szCs w:val="32"/>
          <w:lang w:bidi="ar-SA"/>
        </w:rPr>
      </w:pPr>
      <w:r>
        <w:rPr>
          <w:spacing w:val="-4"/>
          <w:sz w:val="32"/>
          <w:szCs w:val="32"/>
          <w:lang w:bidi="ar-SA"/>
        </w:rPr>
        <w:t>2024年，太原海关以习近平新时代中国特色社会主义思想为指导，全面贯彻落实党的二十大和二十届二中、三中全会精神，深入学习贯彻</w:t>
      </w:r>
      <w:r>
        <w:rPr>
          <w:spacing w:val="-4"/>
          <w:sz w:val="32"/>
          <w:szCs w:val="32"/>
          <w:lang w:bidi="ar-SA"/>
        </w:rPr>
        <w:t>中共</w:t>
      </w:r>
      <w:r>
        <w:rPr>
          <w:spacing w:val="-4"/>
          <w:sz w:val="32"/>
          <w:szCs w:val="32"/>
          <w:lang w:bidi="ar-SA"/>
        </w:rPr>
        <w:t>中央、国务院关于全面推进政务公开工作的系列部署，严格落实《中华人民共和国政府信息公开条例》各项规定，按照海关总署办公厅关于政务公开工作的相关要求，坚持以人民为中心，持续提升基层政务公开标准化规范化水平，着力推动政务公开工作持续完善进步。</w:t>
      </w:r>
    </w:p>
    <w:p>
      <w:pPr>
        <w:pStyle w:val="126"/>
        <w:tabs>
          <w:tab w:val="center" w:pos="4153"/>
          <w:tab w:val="right" w:pos="8306"/>
        </w:tabs>
        <w:adjustRightInd/>
        <w:snapToGrid w:val="0"/>
        <w:spacing w:line="560" w:lineRule="exact"/>
        <w:ind w:firstLineChars="200" w:firstLine="616"/>
        <w:contextualSpacing w:val="0"/>
        <w:jc w:val="both"/>
        <w:rPr>
          <w:rFonts w:ascii="方正楷体_GBK" w:eastAsia="方正楷体_GBK" w:hint="eastAsia"/>
          <w:spacing w:val="-4"/>
          <w:sz w:val="32"/>
          <w:szCs w:val="32"/>
          <w:lang w:bidi="ar-SA"/>
        </w:rPr>
      </w:pPr>
      <w:r>
        <w:rPr>
          <w:rFonts w:ascii="方正楷体_GBK" w:eastAsia="方正楷体_GBK" w:hint="eastAsia"/>
          <w:spacing w:val="-4"/>
          <w:sz w:val="32"/>
          <w:szCs w:val="32"/>
          <w:lang w:bidi="ar-SA"/>
        </w:rPr>
        <w:t>（一）主动公开方面。</w:t>
      </w:r>
    </w:p>
    <w:p>
      <w:pPr>
        <w:pStyle w:val="126"/>
        <w:tabs>
          <w:tab w:val="center" w:pos="4153"/>
          <w:tab w:val="right" w:pos="8306"/>
        </w:tabs>
        <w:adjustRightInd/>
        <w:snapToGrid w:val="0"/>
        <w:spacing w:line="560" w:lineRule="exact"/>
        <w:ind w:firstLineChars="200" w:firstLine="616"/>
        <w:contextualSpacing w:val="0"/>
        <w:jc w:val="both"/>
        <w:rPr>
          <w:spacing w:val="-4"/>
          <w:sz w:val="32"/>
          <w:szCs w:val="32"/>
          <w:lang w:bidi="ar-SA"/>
        </w:rPr>
      </w:pPr>
      <w:r>
        <w:rPr>
          <w:spacing w:val="-4"/>
          <w:sz w:val="32"/>
          <w:szCs w:val="32"/>
          <w:lang w:bidi="ar-SA"/>
        </w:rPr>
        <w:t>全面推动民生关切的重点领域信息公开，严格执行政府信息依法主动公开，全年依托太原海关门户网站发布信息1174条。强化政策解读工作，围绕太原海关辖区业务特色以及优化营商环境等方面，做好政策宣贯，全年在海关总署门户网站解读海关公告6篇。规范信息制作、审查、发布等环节，提升信息准确性、严谨性、权威性、时效性，强化信息公开保密审查工作，坚决守护国家秘密，保护行政相对人隐私安全和企业商业秘密。</w:t>
      </w:r>
    </w:p>
    <w:p>
      <w:pPr>
        <w:pStyle w:val="126"/>
        <w:tabs>
          <w:tab w:val="center" w:pos="4153"/>
          <w:tab w:val="right" w:pos="8306"/>
        </w:tabs>
        <w:adjustRightInd/>
        <w:snapToGrid w:val="0"/>
        <w:spacing w:line="560" w:lineRule="exact"/>
        <w:ind w:firstLineChars="200" w:firstLine="616"/>
        <w:contextualSpacing w:val="0"/>
        <w:jc w:val="both"/>
        <w:rPr>
          <w:rFonts w:ascii="方正楷体_GBK" w:eastAsia="方正楷体_GBK" w:hint="eastAsia"/>
          <w:spacing w:val="-4"/>
          <w:sz w:val="32"/>
          <w:szCs w:val="32"/>
          <w:lang w:bidi="ar-SA"/>
        </w:rPr>
      </w:pPr>
      <w:r>
        <w:rPr>
          <w:rFonts w:ascii="方正楷体_GBK" w:eastAsia="方正楷体_GBK" w:hint="eastAsia"/>
          <w:spacing w:val="-4"/>
          <w:sz w:val="32"/>
          <w:szCs w:val="32"/>
          <w:lang w:bidi="ar-SA"/>
        </w:rPr>
        <w:t>（二）依申请公开方面。</w:t>
      </w:r>
    </w:p>
    <w:p>
      <w:pPr>
        <w:pStyle w:val="126"/>
        <w:tabs>
          <w:tab w:val="center" w:pos="4153"/>
          <w:tab w:val="right" w:pos="8306"/>
        </w:tabs>
        <w:adjustRightInd/>
        <w:snapToGrid w:val="0"/>
        <w:spacing w:line="560" w:lineRule="exact"/>
        <w:ind w:firstLineChars="200" w:firstLine="616"/>
        <w:contextualSpacing w:val="0"/>
        <w:jc w:val="both"/>
        <w:rPr>
          <w:spacing w:val="-4"/>
          <w:sz w:val="32"/>
          <w:szCs w:val="32"/>
          <w:lang w:bidi="ar-SA"/>
        </w:rPr>
      </w:pPr>
      <w:r>
        <w:rPr>
          <w:spacing w:val="-4"/>
          <w:sz w:val="32"/>
          <w:szCs w:val="32"/>
          <w:lang w:bidi="ar-SA"/>
        </w:rPr>
        <w:t>持续提高信息公开申请的依法依规办理水平，设身处地为公众解决信息需要和服务需求。全年接收政府信息公开申请7份，其中5份申请予以公开，2份申请因不掌握相关信息而无法提供。2024年，我关对政府信息公开申请的办理答复工作进行了集中培训，进一步规范了基层海关对政府信息公开申请答复的办理程序。目前我关所有信息公开申请均在法律规定时限内规范妥善办结，未引起投诉举报、行政复议、行政诉讼等情形。</w:t>
      </w:r>
    </w:p>
    <w:p>
      <w:pPr>
        <w:pStyle w:val="126"/>
        <w:tabs>
          <w:tab w:val="center" w:pos="4153"/>
          <w:tab w:val="right" w:pos="8306"/>
        </w:tabs>
        <w:adjustRightInd/>
        <w:snapToGrid w:val="0"/>
        <w:spacing w:line="560" w:lineRule="exact"/>
        <w:ind w:firstLineChars="200" w:firstLine="616"/>
        <w:contextualSpacing w:val="0"/>
        <w:jc w:val="both"/>
        <w:rPr>
          <w:rFonts w:ascii="方正楷体_GBK" w:eastAsia="方正楷体_GBK" w:hint="eastAsia"/>
          <w:spacing w:val="-4"/>
          <w:sz w:val="32"/>
          <w:szCs w:val="32"/>
          <w:lang w:bidi="ar-SA"/>
        </w:rPr>
      </w:pPr>
      <w:r>
        <w:rPr>
          <w:rFonts w:ascii="方正楷体_GBK" w:eastAsia="方正楷体_GBK" w:hint="eastAsia"/>
          <w:spacing w:val="-4"/>
          <w:sz w:val="32"/>
          <w:szCs w:val="32"/>
          <w:lang w:bidi="ar-SA"/>
        </w:rPr>
        <w:t>（三）互动交流方面。</w:t>
      </w:r>
    </w:p>
    <w:p>
      <w:pPr>
        <w:pStyle w:val="126"/>
        <w:tabs>
          <w:tab w:val="center" w:pos="4153"/>
          <w:tab w:val="right" w:pos="8306"/>
        </w:tabs>
        <w:adjustRightInd/>
        <w:snapToGrid w:val="0"/>
        <w:spacing w:line="560" w:lineRule="exact"/>
        <w:ind w:firstLineChars="200" w:firstLine="616"/>
        <w:contextualSpacing w:val="0"/>
        <w:jc w:val="both"/>
        <w:rPr>
          <w:spacing w:val="-4"/>
          <w:sz w:val="32"/>
          <w:szCs w:val="32"/>
          <w:lang w:bidi="ar-SA"/>
        </w:rPr>
      </w:pPr>
      <w:r>
        <w:rPr>
          <w:spacing w:val="-4"/>
          <w:sz w:val="32"/>
          <w:szCs w:val="32"/>
          <w:lang w:bidi="ar-SA"/>
        </w:rPr>
        <w:t>举办</w:t>
      </w:r>
      <w:r>
        <w:rPr>
          <w:rFonts w:ascii="方正仿宋_GBK" w:hint="eastAsia"/>
          <w:spacing w:val="-4"/>
          <w:sz w:val="32"/>
          <w:szCs w:val="32"/>
          <w:lang w:bidi="ar-SA"/>
        </w:rPr>
        <w:t>“</w:t>
      </w:r>
      <w:r>
        <w:rPr>
          <w:spacing w:val="-4"/>
          <w:sz w:val="32"/>
          <w:szCs w:val="32"/>
          <w:lang w:bidi="ar-SA"/>
        </w:rPr>
        <w:t>走进内陆地区对外开放新高地上的‘小杂粮王国’</w:t>
      </w:r>
      <w:r>
        <w:rPr>
          <w:rFonts w:ascii="方正仿宋_GBK" w:hint="eastAsia"/>
          <w:spacing w:val="-4"/>
          <w:sz w:val="32"/>
          <w:szCs w:val="32"/>
          <w:lang w:bidi="ar-SA"/>
        </w:rPr>
        <w:t>”</w:t>
      </w:r>
      <w:r>
        <w:rPr>
          <w:spacing w:val="-4"/>
          <w:sz w:val="32"/>
          <w:szCs w:val="32"/>
          <w:lang w:bidi="ar-SA"/>
        </w:rPr>
        <w:t>在线访谈，由党委书记、关长担任嘉宾，介绍海关助力杂粮出口的系列举措和法律法规，助力相关业务外贸发展。提升业务咨询答复水平，全年太原海关12360热线接通来电咨询4716人次，通话排队时长缩短至0.24秒，第一时间为公众解答来电咨询；太原海关门户网站收到留言96条，平均答复时间为1个工作日。征询公众意见，持续完善改进海关服务水平，各隶属海关在门户网站就本单位特色业务开展了调查征集6次，征集了公众对海关工作的意见建议。</w:t>
      </w:r>
    </w:p>
    <w:p>
      <w:pPr>
        <w:pStyle w:val="126"/>
        <w:tabs>
          <w:tab w:val="center" w:pos="4153"/>
          <w:tab w:val="right" w:pos="8306"/>
        </w:tabs>
        <w:adjustRightInd/>
        <w:snapToGrid w:val="0"/>
        <w:spacing w:line="560" w:lineRule="exact"/>
        <w:ind w:firstLineChars="200" w:firstLine="616"/>
        <w:contextualSpacing w:val="0"/>
        <w:jc w:val="both"/>
        <w:rPr>
          <w:rFonts w:ascii="方正楷体_GBK" w:eastAsia="方正楷体_GBK" w:hint="eastAsia"/>
          <w:spacing w:val="-4"/>
          <w:sz w:val="32"/>
          <w:szCs w:val="32"/>
          <w:lang w:bidi="ar-SA"/>
        </w:rPr>
      </w:pPr>
      <w:r>
        <w:rPr>
          <w:rFonts w:ascii="方正楷体_GBK" w:eastAsia="方正楷体_GBK" w:hint="eastAsia"/>
          <w:spacing w:val="-4"/>
          <w:sz w:val="32"/>
          <w:szCs w:val="32"/>
          <w:lang w:bidi="ar-SA"/>
        </w:rPr>
        <w:t>（四）政府信息公开平台建设方面。</w:t>
      </w:r>
    </w:p>
    <w:p>
      <w:pPr>
        <w:pStyle w:val="126"/>
        <w:tabs>
          <w:tab w:val="center" w:pos="4153"/>
          <w:tab w:val="right" w:pos="8306"/>
        </w:tabs>
        <w:adjustRightInd/>
        <w:snapToGrid w:val="0"/>
        <w:spacing w:line="560" w:lineRule="exact"/>
        <w:ind w:firstLineChars="200" w:firstLine="616"/>
        <w:contextualSpacing w:val="0"/>
        <w:jc w:val="both"/>
        <w:rPr>
          <w:spacing w:val="-4"/>
          <w:sz w:val="32"/>
          <w:szCs w:val="32"/>
          <w:lang w:bidi="ar-SA"/>
        </w:rPr>
      </w:pPr>
      <w:r>
        <w:rPr>
          <w:spacing w:val="-4"/>
          <w:sz w:val="32"/>
          <w:szCs w:val="32"/>
          <w:lang w:bidi="ar-SA"/>
        </w:rPr>
        <w:t>积极做好太原海关门户网站平台建设，及时发布海关信息，回应社会关切。全面优化网站栏目架构，根据社会海关与海关业务实际及时调整更新专题栏目设置，不断提升门户网站实用性、易用性。</w:t>
      </w:r>
    </w:p>
    <w:p>
      <w:pPr>
        <w:pStyle w:val="126"/>
        <w:tabs>
          <w:tab w:val="center" w:pos="4153"/>
          <w:tab w:val="right" w:pos="8306"/>
        </w:tabs>
        <w:adjustRightInd/>
        <w:snapToGrid w:val="0"/>
        <w:spacing w:line="560" w:lineRule="exact"/>
        <w:ind w:firstLineChars="200" w:firstLine="616"/>
        <w:contextualSpacing w:val="0"/>
        <w:jc w:val="both"/>
        <w:rPr>
          <w:rFonts w:ascii="方正楷体_GBK" w:eastAsia="方正楷体_GBK" w:hint="eastAsia"/>
          <w:spacing w:val="-4"/>
          <w:sz w:val="32"/>
          <w:szCs w:val="32"/>
          <w:lang w:bidi="ar-SA"/>
        </w:rPr>
      </w:pPr>
      <w:r>
        <w:rPr>
          <w:rFonts w:ascii="方正楷体_GBK" w:eastAsia="方正楷体_GBK" w:hint="eastAsia"/>
          <w:spacing w:val="-4"/>
          <w:sz w:val="32"/>
          <w:szCs w:val="32"/>
          <w:lang w:bidi="ar-SA"/>
        </w:rPr>
        <w:t>（五）监督保障方面。</w:t>
      </w:r>
    </w:p>
    <w:p>
      <w:pPr>
        <w:pStyle w:val="126"/>
        <w:tabs>
          <w:tab w:val="center" w:pos="4153"/>
          <w:tab w:val="right" w:pos="8306"/>
        </w:tabs>
        <w:adjustRightInd/>
        <w:snapToGrid w:val="0"/>
        <w:spacing w:line="560" w:lineRule="exact"/>
        <w:ind w:firstLineChars="200" w:firstLine="616"/>
        <w:contextualSpacing w:val="0"/>
        <w:jc w:val="both"/>
        <w:rPr>
          <w:spacing w:val="-4"/>
          <w:sz w:val="32"/>
          <w:szCs w:val="32"/>
          <w:lang w:bidi="ar-SA"/>
        </w:rPr>
      </w:pPr>
      <w:r>
        <w:rPr>
          <w:spacing w:val="-4"/>
          <w:sz w:val="32"/>
          <w:szCs w:val="32"/>
          <w:lang w:bidi="ar-SA"/>
        </w:rPr>
        <w:t>强化政务公开队伍建设，开展政务公开工作交流与业务培训，由太原海关办公室牵头，加强对关区政务公开工作的指导督促，推进政务公开工作标准化、规范化、法制化建设。将政务公开工作纳入考核体系，对照海关总署政务公开工作要求，制定具体工作细则和考核指标，推动各项任务落实落地。</w:t>
      </w:r>
    </w:p>
    <w:p>
      <w:pPr>
        <w:pStyle w:val="127"/>
        <w:adjustRightInd w:val="0"/>
        <w:snapToGrid w:val="0"/>
        <w:ind w:firstLineChars="200" w:firstLine="616"/>
        <w:rPr>
          <w:rFonts w:eastAsia="方正黑体_GBK"/>
          <w:bCs/>
          <w:sz w:val="32"/>
          <w:szCs w:val="32"/>
          <w:shd w:val="clear" w:color="auto" w:fill="FFFFFF"/>
          <w:lang w:bidi="ar-SA"/>
        </w:rPr>
      </w:pPr>
      <w:r>
        <w:rPr>
          <w:rFonts w:eastAsia="方正黑体_GBK"/>
          <w:bCs/>
          <w:sz w:val="32"/>
          <w:szCs w:val="32"/>
          <w:shd w:val="clear" w:color="auto" w:fill="FFFFFF"/>
          <w:lang w:bidi="ar-SA"/>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20"/>
        <w:gridCol w:w="2183"/>
        <w:gridCol w:w="1936"/>
        <w:gridCol w:w="2156"/>
      </w:tblGrid>
      <w:tr>
        <w:trPr>
          <w:trHeight w:val="495"/>
        </w:trPr>
        <w:tc>
          <w:tcPr>
            <w:tcW w:w="8995" w:type="dxa"/>
            <w:gridSpan w:val="4"/>
            <w:tcBorders>
              <w:top w:val="single" w:sz="8" w:space="0" w:color="auto"/>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28"/>
              <w:widowControl/>
              <w:jc w:val="center"/>
              <w:rPr>
                <w:color w:val="auto"/>
                <w:sz w:val="24"/>
                <w:szCs w:val="24"/>
              </w:rPr>
            </w:pPr>
            <w:r>
              <w:rPr>
                <w:color w:val="auto"/>
                <w:kern w:val="0"/>
                <w:sz w:val="24"/>
                <w:szCs w:val="24"/>
                <w:lang w:bidi="ar-SA"/>
              </w:rPr>
              <w:t>第二十条第（一）项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信息内容</w:t>
            </w:r>
          </w:p>
        </w:tc>
        <w:tc>
          <w:tcPr>
            <w:tcW w:w="2183"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本年</w:t>
            </w:r>
            <w:r>
              <w:rPr>
                <w:color w:val="auto"/>
                <w:kern w:val="0"/>
                <w:sz w:val="24"/>
                <w:szCs w:val="24"/>
              </w:rPr>
              <w:t>制发件数</w:t>
            </w:r>
          </w:p>
        </w:tc>
        <w:tc>
          <w:tcPr>
            <w:tcW w:w="193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本年废止件</w:t>
            </w:r>
            <w:r>
              <w:rPr>
                <w:color w:val="auto"/>
                <w:kern w:val="0"/>
                <w:sz w:val="24"/>
                <w:szCs w:val="24"/>
              </w:rPr>
              <w:t>数</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128"/>
              <w:widowControl/>
              <w:jc w:val="center"/>
              <w:rPr>
                <w:color w:val="auto"/>
                <w:sz w:val="24"/>
                <w:szCs w:val="24"/>
              </w:rPr>
            </w:pPr>
            <w:r>
              <w:rPr>
                <w:color w:val="auto"/>
                <w:kern w:val="0"/>
                <w:sz w:val="24"/>
                <w:szCs w:val="24"/>
                <w:lang w:bidi="ar-SA"/>
              </w:rPr>
              <w:t>现行有效件数</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adjustRightInd w:val="0"/>
              <w:snapToGrid w:val="0"/>
              <w:spacing w:line="260" w:lineRule="exact"/>
              <w:jc w:val="center"/>
              <w:rPr>
                <w:color w:val="auto"/>
                <w:sz w:val="24"/>
                <w:szCs w:val="24"/>
              </w:rPr>
            </w:pPr>
            <w:r>
              <w:rPr>
                <w:color w:val="auto"/>
                <w:kern w:val="0"/>
                <w:sz w:val="24"/>
                <w:szCs w:val="24"/>
                <w:lang w:bidi="ar-SA"/>
              </w:rPr>
              <w:t>规章</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adjustRightInd w:val="0"/>
              <w:snapToGrid w:val="0"/>
              <w:spacing w:line="260" w:lineRule="exact"/>
              <w:jc w:val="center"/>
              <w:rPr>
                <w:color w:val="auto"/>
                <w:sz w:val="24"/>
                <w:szCs w:val="24"/>
              </w:rPr>
            </w:pPr>
            <w:r>
              <w:rPr>
                <w:color w:val="auto"/>
                <w:kern w:val="0"/>
                <w:sz w:val="24"/>
                <w:szCs w:val="24"/>
                <w:lang w:bidi="ar-SA"/>
              </w:rPr>
              <w:t>行政规范性文件</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2</w:t>
            </w:r>
          </w:p>
        </w:tc>
      </w:tr>
      <w:tr>
        <w:trPr>
          <w:trHeight w:val="435"/>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28"/>
              <w:widowControl/>
              <w:jc w:val="center"/>
              <w:rPr>
                <w:color w:val="auto"/>
                <w:sz w:val="24"/>
                <w:szCs w:val="24"/>
              </w:rPr>
            </w:pPr>
            <w:r>
              <w:rPr>
                <w:kern w:val="0"/>
                <w:sz w:val="24"/>
                <w:szCs w:val="24"/>
                <w:lang w:bidi="ar-SA"/>
              </w:rPr>
              <w:t>第二十条第（五）项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adjustRightInd w:val="0"/>
              <w:snapToGrid w:val="0"/>
              <w:spacing w:line="260" w:lineRule="exact"/>
              <w:jc w:val="center"/>
              <w:rPr>
                <w:color w:val="auto"/>
                <w:sz w:val="24"/>
                <w:szCs w:val="24"/>
              </w:rPr>
            </w:pPr>
            <w:r>
              <w:rPr>
                <w:color w:val="auto"/>
                <w:kern w:val="0"/>
                <w:sz w:val="24"/>
                <w:szCs w:val="24"/>
                <w:lang w:bidi="ar-SA"/>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9"/>
              <w:widowControl/>
              <w:adjustRightInd w:val="0"/>
              <w:snapToGrid w:val="0"/>
              <w:spacing w:line="260" w:lineRule="exact"/>
              <w:jc w:val="center"/>
              <w:rPr>
                <w:color w:val="auto"/>
                <w:sz w:val="24"/>
                <w:szCs w:val="24"/>
              </w:rPr>
            </w:pPr>
            <w:r>
              <w:rPr>
                <w:color w:val="auto"/>
                <w:kern w:val="0"/>
                <w:sz w:val="24"/>
                <w:szCs w:val="24"/>
                <w:lang w:bidi="ar-SA"/>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adjustRightInd w:val="0"/>
              <w:snapToGrid w:val="0"/>
              <w:spacing w:line="260" w:lineRule="exact"/>
              <w:jc w:val="center"/>
              <w:rPr>
                <w:color w:val="auto"/>
                <w:sz w:val="24"/>
                <w:szCs w:val="24"/>
              </w:rPr>
            </w:pPr>
            <w:r>
              <w:rPr>
                <w:color w:val="auto"/>
                <w:kern w:val="0"/>
                <w:sz w:val="24"/>
                <w:szCs w:val="24"/>
                <w:lang w:bidi="ar-SA"/>
              </w:rPr>
              <w:t>行政许可</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0"/>
              <w:jc w:val="center"/>
              <w:rPr>
                <w:rFonts w:eastAsia="方正仿宋_GBK"/>
                <w:sz w:val="24"/>
                <w:szCs w:val="24"/>
                <w:lang w:bidi="ar-SA"/>
              </w:rPr>
            </w:pPr>
            <w:r>
              <w:rPr>
                <w:rFonts w:eastAsia="方正仿宋_GBK"/>
                <w:sz w:val="24"/>
                <w:szCs w:val="24"/>
                <w:lang w:bidi="ar-SA"/>
              </w:rPr>
              <w:t>627</w:t>
            </w:r>
          </w:p>
        </w:tc>
      </w:tr>
      <w:tr>
        <w:trPr>
          <w:trHeight w:val="406"/>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28"/>
              <w:widowControl/>
              <w:jc w:val="center"/>
              <w:rPr>
                <w:color w:val="auto"/>
                <w:sz w:val="24"/>
                <w:szCs w:val="24"/>
              </w:rPr>
            </w:pPr>
            <w:r>
              <w:rPr>
                <w:kern w:val="0"/>
                <w:sz w:val="24"/>
                <w:szCs w:val="24"/>
                <w:lang w:bidi="ar-SA"/>
              </w:rPr>
              <w:t>第二十条第（六）项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adjustRightInd w:val="0"/>
              <w:snapToGrid w:val="0"/>
              <w:spacing w:line="260" w:lineRule="exact"/>
              <w:jc w:val="center"/>
              <w:rPr>
                <w:color w:val="auto"/>
                <w:sz w:val="24"/>
                <w:szCs w:val="24"/>
              </w:rPr>
            </w:pPr>
            <w:r>
              <w:rPr>
                <w:color w:val="auto"/>
                <w:kern w:val="0"/>
                <w:sz w:val="24"/>
                <w:szCs w:val="24"/>
                <w:lang w:bidi="ar-SA"/>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1"/>
              <w:widowControl/>
              <w:adjustRightInd w:val="0"/>
              <w:snapToGrid w:val="0"/>
              <w:spacing w:line="260" w:lineRule="exact"/>
              <w:jc w:val="center"/>
              <w:rPr>
                <w:color w:val="auto"/>
                <w:sz w:val="24"/>
                <w:szCs w:val="24"/>
              </w:rPr>
            </w:pPr>
            <w:r>
              <w:rPr>
                <w:color w:val="auto"/>
                <w:kern w:val="0"/>
                <w:sz w:val="24"/>
                <w:szCs w:val="24"/>
                <w:lang w:bidi="ar-SA"/>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adjustRightInd w:val="0"/>
              <w:snapToGrid w:val="0"/>
              <w:spacing w:line="260" w:lineRule="exact"/>
              <w:jc w:val="center"/>
              <w:rPr>
                <w:color w:val="auto"/>
                <w:sz w:val="24"/>
                <w:szCs w:val="24"/>
              </w:rPr>
            </w:pPr>
            <w:r>
              <w:rPr>
                <w:color w:val="auto"/>
                <w:kern w:val="0"/>
                <w:sz w:val="24"/>
                <w:szCs w:val="24"/>
                <w:lang w:bidi="ar-SA"/>
              </w:rPr>
              <w:t>行政处罚</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lang w:bidi="ar-SA"/>
              </w:rPr>
            </w:pPr>
            <w:r>
              <w:rPr>
                <w:rFonts w:eastAsia="方正仿宋_GBK"/>
                <w:sz w:val="24"/>
                <w:szCs w:val="24"/>
                <w:lang w:bidi="ar-SA"/>
              </w:rPr>
              <w:t>49</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adjustRightInd w:val="0"/>
              <w:snapToGrid w:val="0"/>
              <w:spacing w:line="260" w:lineRule="exact"/>
              <w:jc w:val="center"/>
              <w:rPr>
                <w:color w:val="auto"/>
                <w:sz w:val="24"/>
                <w:szCs w:val="24"/>
              </w:rPr>
            </w:pPr>
            <w:r>
              <w:rPr>
                <w:color w:val="auto"/>
                <w:kern w:val="0"/>
                <w:sz w:val="24"/>
                <w:szCs w:val="24"/>
                <w:lang w:bidi="ar-SA"/>
              </w:rPr>
              <w:t>行政强制</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2"/>
              <w:jc w:val="center"/>
              <w:rPr>
                <w:rFonts w:eastAsia="方正仿宋_GBK"/>
                <w:sz w:val="24"/>
                <w:szCs w:val="24"/>
                <w:lang w:bidi="ar-SA"/>
              </w:rPr>
            </w:pPr>
            <w:r>
              <w:rPr>
                <w:rFonts w:eastAsia="方正仿宋_GBK"/>
                <w:sz w:val="24"/>
                <w:szCs w:val="24"/>
                <w:lang w:bidi="ar-SA"/>
              </w:rPr>
              <w:t>11</w:t>
            </w:r>
          </w:p>
        </w:tc>
      </w:tr>
      <w:tr>
        <w:trPr>
          <w:trHeight w:val="474"/>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28"/>
              <w:widowControl/>
              <w:jc w:val="center"/>
              <w:rPr>
                <w:color w:val="auto"/>
                <w:sz w:val="24"/>
                <w:szCs w:val="24"/>
              </w:rPr>
            </w:pPr>
            <w:r>
              <w:rPr>
                <w:kern w:val="0"/>
                <w:sz w:val="24"/>
                <w:szCs w:val="24"/>
                <w:lang w:bidi="ar-SA"/>
              </w:rPr>
              <w:t>第二十条第（八）项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adjustRightInd w:val="0"/>
              <w:snapToGrid w:val="0"/>
              <w:spacing w:line="260" w:lineRule="exact"/>
              <w:jc w:val="center"/>
              <w:rPr>
                <w:color w:val="auto"/>
                <w:sz w:val="24"/>
                <w:szCs w:val="24"/>
              </w:rPr>
            </w:pPr>
            <w:r>
              <w:rPr>
                <w:color w:val="auto"/>
                <w:kern w:val="0"/>
                <w:sz w:val="24"/>
                <w:szCs w:val="24"/>
                <w:lang w:bidi="ar-SA"/>
              </w:rPr>
              <w:t>信息内容</w:t>
            </w:r>
          </w:p>
        </w:tc>
        <w:tc>
          <w:tcPr>
            <w:tcW w:w="6275" w:type="dxa"/>
            <w:gridSpan w:val="3"/>
            <w:tcBorders>
              <w:top w:val="nil"/>
              <w:left w:val="nil"/>
              <w:bottom w:val="single" w:sz="8" w:space="0" w:color="auto"/>
              <w:right w:val="single" w:sz="8" w:space="0" w:color="000000"/>
              <w:tl2br w:val="nil"/>
              <w:tr2bl w:val="nil"/>
            </w:tcBorders>
            <w:shd w:val="clear" w:color="auto" w:fill="auto"/>
            <w:tcMar>
              <w:left w:w="108" w:type="dxa"/>
              <w:right w:w="108" w:type="dxa"/>
            </w:tcMar>
            <w:vAlign w:val="center"/>
          </w:tcPr>
          <w:p>
            <w:pPr>
              <w:pStyle w:val="133"/>
              <w:widowControl/>
              <w:adjustRightInd w:val="0"/>
              <w:snapToGrid w:val="0"/>
              <w:spacing w:line="260" w:lineRule="exact"/>
              <w:jc w:val="center"/>
              <w:rPr>
                <w:color w:val="auto"/>
                <w:sz w:val="24"/>
                <w:szCs w:val="24"/>
              </w:rPr>
            </w:pPr>
            <w:r>
              <w:rPr>
                <w:color w:val="auto"/>
                <w:kern w:val="0"/>
                <w:sz w:val="24"/>
                <w:szCs w:val="24"/>
                <w:lang w:bidi="ar-SA"/>
              </w:rPr>
              <w:t>本年收费金额（单位：万元）</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adjustRightInd w:val="0"/>
              <w:snapToGrid w:val="0"/>
              <w:spacing w:line="260" w:lineRule="exact"/>
              <w:jc w:val="center"/>
            </w:pPr>
            <w:r>
              <w:rPr>
                <w:color w:val="auto"/>
                <w:kern w:val="0"/>
                <w:sz w:val="24"/>
                <w:szCs w:val="24"/>
                <w:lang w:bidi="ar-SA"/>
              </w:rPr>
              <w:t>行政事业性收费</w:t>
            </w:r>
          </w:p>
        </w:tc>
        <w:tc>
          <w:tcPr>
            <w:tcW w:w="6275" w:type="dxa"/>
            <w:gridSpan w:val="3"/>
            <w:tcBorders>
              <w:top w:val="nil"/>
              <w:left w:val="nil"/>
              <w:bottom w:val="single" w:sz="8" w:space="0" w:color="auto"/>
              <w:right w:val="single" w:sz="8" w:space="0" w:color="000000"/>
              <w:tl2br w:val="nil"/>
              <w:tr2bl w:val="nil"/>
            </w:tcBorders>
            <w:shd w:val="clear" w:color="auto" w:fill="auto"/>
            <w:tcMar>
              <w:left w:w="108" w:type="dxa"/>
              <w:right w:w="108" w:type="dxa"/>
            </w:tcMar>
            <w:vAlign w:val="center"/>
          </w:tcPr>
          <w:p>
            <w:pPr>
              <w:pStyle w:val="128"/>
              <w:jc w:val="center"/>
              <w:rPr>
                <w:rFonts w:eastAsia="方正仿宋_GBK"/>
                <w:sz w:val="24"/>
                <w:szCs w:val="24"/>
                <w:lang w:bidi="ar-SA"/>
              </w:rPr>
            </w:pPr>
            <w:r>
              <w:rPr>
                <w:rFonts w:eastAsia="方正仿宋_GBK"/>
                <w:sz w:val="24"/>
                <w:szCs w:val="24"/>
                <w:lang w:bidi="ar-SA"/>
              </w:rPr>
              <w:t>0</w:t>
            </w:r>
          </w:p>
        </w:tc>
      </w:tr>
    </w:tbl>
    <w:p>
      <w:pPr>
        <w:pStyle w:val="126"/>
        <w:tabs>
          <w:tab w:val="center" w:pos="4153"/>
          <w:tab w:val="right" w:pos="8306"/>
        </w:tabs>
        <w:adjustRightInd/>
        <w:snapToGrid w:val="0"/>
        <w:contextualSpacing w:val="0"/>
      </w:pPr>
    </w:p>
    <w:p>
      <w:pPr>
        <w:pStyle w:val="125"/>
        <w:widowControl/>
        <w:shd w:val="clear" w:color="auto" w:fill="FFFFFF"/>
        <w:adjustRightInd w:val="0"/>
        <w:snapToGrid w:val="0"/>
        <w:spacing w:beforeAutospacing="0" w:afterAutospacing="0" w:line="560" w:lineRule="exact"/>
        <w:ind w:left="0" w:firstLineChars="200" w:firstLine="632"/>
        <w:jc w:val="both"/>
        <w:rPr>
          <w:rFonts w:eastAsia="方正黑体_GBK"/>
          <w:bCs/>
          <w:sz w:val="32"/>
          <w:szCs w:val="32"/>
          <w:shd w:val="clear" w:color="auto" w:fill="FFFFFF"/>
          <w:lang w:bidi="ar-SA"/>
        </w:rPr>
      </w:pPr>
      <w:r>
        <w:rPr>
          <w:rFonts w:eastAsia="方正黑体_GBK"/>
          <w:bCs/>
          <w:sz w:val="32"/>
          <w:szCs w:val="32"/>
          <w:shd w:val="clear" w:color="auto" w:fill="FFFFFF"/>
          <w:lang w:bidi="ar-SA"/>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rPr>
            </w:pPr>
            <w:r>
              <w:rPr>
                <w:color w:val="auto"/>
                <w:kern w:val="0"/>
                <w:sz w:val="20"/>
                <w:szCs w:val="20"/>
                <w:lang w:bidi="ar-SA"/>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rPr>
            </w:pPr>
            <w:r>
              <w:rPr>
                <w:color w:val="auto"/>
                <w:kern w:val="0"/>
                <w:sz w:val="20"/>
                <w:szCs w:val="20"/>
                <w:lang w:bidi="ar-SA"/>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35"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rPr>
            </w:pPr>
            <w:r>
              <w:rPr>
                <w:color w:val="auto"/>
                <w:kern w:val="0"/>
                <w:sz w:val="20"/>
                <w:szCs w:val="20"/>
                <w:lang w:bidi="ar-SA"/>
              </w:rPr>
              <w:t>自然人</w:t>
            </w:r>
          </w:p>
        </w:tc>
        <w:tc>
          <w:tcPr>
            <w:tcW w:w="3452"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rPr>
            </w:pPr>
            <w:r>
              <w:rPr>
                <w:color w:val="auto"/>
                <w:kern w:val="0"/>
                <w:sz w:val="20"/>
                <w:szCs w:val="20"/>
                <w:lang w:bidi="ar-SA"/>
              </w:rPr>
              <w:t>法人或其他组织</w:t>
            </w:r>
          </w:p>
        </w:tc>
        <w:tc>
          <w:tcPr>
            <w:tcW w:w="682"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rPr>
            </w:pPr>
            <w:r>
              <w:rPr>
                <w:color w:val="auto"/>
                <w:kern w:val="0"/>
                <w:sz w:val="20"/>
                <w:szCs w:val="20"/>
                <w:lang w:bidi="ar-SA"/>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35"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rPr>
            </w:pPr>
            <w:r>
              <w:rPr>
                <w:color w:val="auto"/>
                <w:kern w:val="0"/>
                <w:sz w:val="20"/>
                <w:szCs w:val="20"/>
                <w:lang w:bidi="ar-SA"/>
              </w:rPr>
              <w:t>商业企业</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rPr>
            </w:pPr>
            <w:r>
              <w:rPr>
                <w:color w:val="auto"/>
                <w:kern w:val="0"/>
                <w:sz w:val="20"/>
                <w:szCs w:val="20"/>
                <w:lang w:bidi="ar-SA"/>
              </w:rPr>
              <w:t>科研机构</w:t>
            </w:r>
          </w:p>
        </w:tc>
        <w:tc>
          <w:tcPr>
            <w:tcW w:w="76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rPr>
            </w:pPr>
            <w:r>
              <w:rPr>
                <w:color w:val="auto"/>
                <w:kern w:val="0"/>
                <w:sz w:val="20"/>
                <w:szCs w:val="20"/>
                <w:lang w:bidi="ar-SA"/>
              </w:rPr>
              <w:t>社会公益组织</w:t>
            </w:r>
          </w:p>
        </w:tc>
        <w:tc>
          <w:tcPr>
            <w:tcW w:w="76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rPr>
            </w:pPr>
            <w:r>
              <w:rPr>
                <w:color w:val="auto"/>
                <w:kern w:val="0"/>
                <w:sz w:val="20"/>
                <w:szCs w:val="20"/>
                <w:lang w:bidi="ar-SA"/>
              </w:rPr>
              <w:t>法律服务机构</w:t>
            </w:r>
          </w:p>
        </w:tc>
        <w:tc>
          <w:tcPr>
            <w:tcW w:w="497"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rPr>
            </w:pPr>
            <w:r>
              <w:rPr>
                <w:color w:val="auto"/>
                <w:kern w:val="0"/>
                <w:sz w:val="20"/>
                <w:szCs w:val="20"/>
                <w:lang w:bidi="ar-SA"/>
              </w:rPr>
              <w:t>其他</w:t>
            </w:r>
          </w:p>
        </w:tc>
        <w:tc>
          <w:tcPr>
            <w:tcW w:w="682"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tcPr>
          <w:p>
            <w:pPr>
              <w:pStyle w:val="128"/>
              <w:widowControl/>
              <w:jc w:val="left"/>
              <w:rPr>
                <w:color w:val="auto"/>
                <w:sz w:val="24"/>
                <w:szCs w:val="24"/>
              </w:rPr>
            </w:pPr>
            <w:r>
              <w:rPr>
                <w:color w:val="auto"/>
                <w:kern w:val="0"/>
                <w:sz w:val="24"/>
                <w:szCs w:val="24"/>
                <w:lang w:bidi="ar-SA"/>
              </w:rPr>
              <w:t>一、本年新收政府信息公开申请数量</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7</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7</w:t>
            </w: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tcPr>
          <w:p>
            <w:pPr>
              <w:pStyle w:val="128"/>
              <w:widowControl/>
              <w:jc w:val="left"/>
              <w:rPr>
                <w:color w:val="auto"/>
                <w:sz w:val="24"/>
                <w:szCs w:val="24"/>
              </w:rPr>
            </w:pPr>
            <w:r>
              <w:rPr>
                <w:color w:val="auto"/>
                <w:kern w:val="0"/>
                <w:sz w:val="24"/>
                <w:szCs w:val="24"/>
                <w:lang w:bidi="ar-SA"/>
              </w:rPr>
              <w:t>二、上年结转政府信息公开申请数量</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c>
          <w:tcPr>
            <w:tcW w:w="696" w:type="dxa"/>
            <w:vMerge w:val="restart"/>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三、本年度办理结果</w:t>
            </w: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left"/>
              <w:rPr>
                <w:color w:val="auto"/>
                <w:sz w:val="24"/>
                <w:szCs w:val="24"/>
              </w:rPr>
            </w:pPr>
            <w:r>
              <w:rPr>
                <w:rFonts w:eastAsia="楷体"/>
                <w:color w:val="auto"/>
                <w:kern w:val="0"/>
                <w:sz w:val="24"/>
                <w:szCs w:val="24"/>
                <w:lang w:bidi="ar-SA"/>
              </w:rPr>
              <w:t>（一）予以公开</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5</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5</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left"/>
              <w:rPr>
                <w:color w:val="auto"/>
                <w:sz w:val="24"/>
                <w:szCs w:val="24"/>
              </w:rPr>
            </w:pPr>
            <w:r>
              <w:rPr>
                <w:rFonts w:eastAsia="楷体"/>
                <w:color w:val="auto"/>
                <w:kern w:val="0"/>
                <w:sz w:val="24"/>
                <w:szCs w:val="24"/>
                <w:lang w:bidi="ar-SA"/>
              </w:rPr>
              <w:t>（二）部分公开（区分处理的，只计这一情形，不计其他情形）</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（三）不予公开</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1.属于国家秘密</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2.其他法律行政法规禁止公开</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3.危及</w:t>
            </w:r>
            <w:r>
              <w:rPr>
                <w:rFonts w:ascii="方正仿宋_GBK" w:eastAsia="方正仿宋_GBK" w:hint="eastAsia"/>
                <w:color w:val="auto"/>
                <w:kern w:val="0"/>
                <w:sz w:val="24"/>
                <w:szCs w:val="24"/>
                <w:lang w:bidi="ar-SA"/>
              </w:rPr>
              <w:t>“</w:t>
            </w:r>
            <w:r>
              <w:rPr>
                <w:rFonts w:eastAsia="楷体"/>
                <w:color w:val="auto"/>
                <w:kern w:val="0"/>
                <w:sz w:val="24"/>
                <w:szCs w:val="24"/>
                <w:lang w:bidi="ar-SA"/>
              </w:rPr>
              <w:t>三安全一稳定</w:t>
            </w:r>
            <w:r>
              <w:rPr>
                <w:rFonts w:ascii="方正仿宋_GBK" w:eastAsia="方正仿宋_GBK" w:hint="eastAsia"/>
                <w:color w:val="auto"/>
                <w:kern w:val="0"/>
                <w:sz w:val="24"/>
                <w:szCs w:val="24"/>
                <w:lang w:bidi="ar-SA"/>
              </w:rPr>
              <w:t>”</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4.保护第三方合法权益</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5.属于三类内部事务信息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6.属于四类过程性信息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7.属于行政执法案卷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8.属于行政查询事项</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（四）无法提供</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1.本机关不掌握相关政府信息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2</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2</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2.没有现成信息需要另行制作</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3.补正后申请内容仍不明确</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（五）不予处理</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1.信访举报投诉类申请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2.重复申请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3.要求提供公开出版物</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rPr>
          <w:trHeight w:val="810"/>
        </w:trP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4.无正当理由大量反复申请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5.要求行政机关确认或重新出具已获取信息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（六）其他处理</w:t>
            </w: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128"/>
              <w:widowControl/>
              <w:rPr>
                <w:rFonts w:eastAsia="楷体"/>
                <w:kern w:val="0"/>
                <w:sz w:val="24"/>
                <w:szCs w:val="24"/>
                <w:lang w:bidi="ar-SA"/>
              </w:rPr>
            </w:pPr>
            <w:r>
              <w:rPr>
                <w:rFonts w:eastAsia="楷体"/>
                <w:kern w:val="0"/>
                <w:sz w:val="24"/>
                <w:szCs w:val="24"/>
                <w:lang w:bidi="ar-SA"/>
              </w:rPr>
              <w:t>1.申请人无正当理由逾期不补正、行政机关不再处理其政府信息公开申请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128"/>
              <w:widowControl/>
              <w:rPr>
                <w:rFonts w:eastAsia="楷体"/>
                <w:kern w:val="0"/>
                <w:sz w:val="24"/>
                <w:szCs w:val="24"/>
                <w:lang w:bidi="ar-SA"/>
              </w:rPr>
            </w:pPr>
            <w:r>
              <w:rPr>
                <w:rFonts w:eastAsia="楷体"/>
                <w:kern w:val="0"/>
                <w:sz w:val="24"/>
                <w:szCs w:val="24"/>
                <w:lang w:bidi="ar-SA"/>
              </w:rPr>
              <w:t>2.申请人逾期未按收费通知要求缴纳费用、行政机关不再处理其政府信息公开申请</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128"/>
              <w:widowControl/>
              <w:rPr>
                <w:rFonts w:eastAsia="楷体"/>
                <w:kern w:val="0"/>
                <w:sz w:val="24"/>
                <w:szCs w:val="24"/>
                <w:lang w:bidi="ar-SA"/>
              </w:rPr>
            </w:pPr>
            <w:r>
              <w:rPr>
                <w:rFonts w:eastAsia="楷体"/>
                <w:kern w:val="0"/>
                <w:sz w:val="24"/>
                <w:szCs w:val="24"/>
                <w:lang w:bidi="ar-SA"/>
              </w:rPr>
              <w:t>3.咨询事项，指引咨询渠道</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128"/>
              <w:widowControl/>
              <w:rPr>
                <w:rFonts w:eastAsia="楷体"/>
                <w:kern w:val="0"/>
                <w:sz w:val="24"/>
                <w:szCs w:val="24"/>
                <w:lang w:bidi="ar-SA"/>
              </w:rPr>
            </w:pPr>
            <w:r>
              <w:rPr>
                <w:rFonts w:eastAsia="楷体"/>
                <w:kern w:val="0"/>
                <w:sz w:val="24"/>
                <w:szCs w:val="24"/>
                <w:lang w:bidi="ar-SA"/>
              </w:rPr>
              <w:t>4.申请人撤销申请</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12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rPr>
                <w:color w:val="auto"/>
                <w:sz w:val="24"/>
                <w:szCs w:val="24"/>
              </w:rPr>
            </w:pPr>
            <w:r>
              <w:rPr>
                <w:rFonts w:eastAsia="楷体"/>
                <w:color w:val="auto"/>
                <w:kern w:val="0"/>
                <w:sz w:val="24"/>
                <w:szCs w:val="24"/>
                <w:lang w:bidi="ar-SA"/>
              </w:rPr>
              <w:t>（七）总计</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7</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7</w:t>
            </w: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left"/>
              <w:rPr>
                <w:color w:val="auto"/>
              </w:rPr>
            </w:pPr>
            <w:r>
              <w:rPr>
                <w:color w:val="auto"/>
                <w:kern w:val="0"/>
                <w:sz w:val="24"/>
                <w:szCs w:val="24"/>
                <w:lang w:bidi="ar-SA"/>
              </w:rPr>
              <w:t>四、结转下年度继续办理</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r>
    </w:tbl>
    <w:p>
      <w:pPr>
        <w:pStyle w:val="125"/>
        <w:widowControl/>
        <w:shd w:val="clear" w:color="auto" w:fill="FFFFFF"/>
        <w:spacing w:beforeAutospacing="0" w:afterAutospacing="0" w:line="560" w:lineRule="exact"/>
        <w:ind w:firstLineChars="200" w:firstLine="632"/>
        <w:jc w:val="both"/>
        <w:rPr>
          <w:color w:val="auto"/>
          <w:szCs w:val="24"/>
          <w:lang w:bidi="ar-SA"/>
        </w:rPr>
      </w:pPr>
      <w:r>
        <w:rPr>
          <w:rFonts w:eastAsia="方正黑体_GBK"/>
          <w:bCs/>
          <w:color w:val="auto"/>
          <w:sz w:val="32"/>
          <w:szCs w:val="32"/>
          <w:shd w:val="clear" w:color="auto" w:fill="FFFFFF"/>
          <w:lang w:bidi="ar-SA"/>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行政复议</w:t>
            </w:r>
          </w:p>
        </w:tc>
        <w:tc>
          <w:tcPr>
            <w:tcW w:w="5997" w:type="dxa"/>
            <w:gridSpan w:val="10"/>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行政诉讼</w:t>
            </w:r>
          </w:p>
        </w:tc>
      </w:tr>
      <w:tr>
        <w:tc>
          <w:tcPr>
            <w:tcW w:w="604" w:type="dxa"/>
            <w:vMerge w:val="restart"/>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结果维持</w:t>
            </w:r>
          </w:p>
        </w:tc>
        <w:tc>
          <w:tcPr>
            <w:tcW w:w="604"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结果纠正</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其他结果</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尚未审结</w:t>
            </w:r>
          </w:p>
        </w:tc>
        <w:tc>
          <w:tcPr>
            <w:tcW w:w="658"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总计</w:t>
            </w:r>
          </w:p>
        </w:tc>
        <w:tc>
          <w:tcPr>
            <w:tcW w:w="2970"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未经复议直接起诉</w:t>
            </w:r>
          </w:p>
        </w:tc>
        <w:tc>
          <w:tcPr>
            <w:tcW w:w="3027"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复议后起诉</w:t>
            </w:r>
          </w:p>
        </w:tc>
      </w:tr>
      <w:tr>
        <w:tc>
          <w:tcPr>
            <w:tcW w:w="604"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结果维持</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其他结果</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尚未审结</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总计</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结果维持</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其他结果</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尚未审结</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4"/>
                <w:szCs w:val="24"/>
              </w:rPr>
            </w:pPr>
            <w:r>
              <w:rPr>
                <w:color w:val="auto"/>
                <w:kern w:val="0"/>
                <w:sz w:val="24"/>
                <w:szCs w:val="24"/>
                <w:lang w:bidi="ar-SA"/>
              </w:rPr>
              <w:t>总计</w:t>
            </w:r>
          </w:p>
        </w:tc>
      </w:tr>
      <w:tr>
        <w:trPr>
          <w:trHeight w:val="862"/>
        </w:trPr>
        <w:tc>
          <w:tcPr>
            <w:tcW w:w="604"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8"/>
                <w:szCs w:val="28"/>
              </w:rPr>
            </w:pPr>
            <w:r>
              <w:rPr>
                <w:color w:val="auto"/>
                <w:sz w:val="28"/>
                <w:szCs w:val="28"/>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8"/>
                <w:szCs w:val="28"/>
              </w:rPr>
            </w:pPr>
            <w:r>
              <w:rPr>
                <w:color w:val="auto"/>
                <w:sz w:val="28"/>
                <w:szCs w:val="28"/>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8"/>
                <w:szCs w:val="28"/>
              </w:rPr>
            </w:pPr>
            <w:r>
              <w:rPr>
                <w:color w:val="auto"/>
                <w:sz w:val="28"/>
                <w:szCs w:val="28"/>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8"/>
                <w:szCs w:val="28"/>
              </w:rPr>
            </w:pPr>
            <w:r>
              <w:rPr>
                <w:color w:val="auto"/>
                <w:sz w:val="28"/>
                <w:szCs w:val="28"/>
              </w:rPr>
              <w:t>0</w:t>
            </w:r>
          </w:p>
        </w:tc>
        <w:tc>
          <w:tcPr>
            <w:tcW w:w="658"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8"/>
                <w:szCs w:val="28"/>
              </w:rPr>
            </w:pPr>
            <w:r>
              <w:rPr>
                <w:color w:val="auto"/>
                <w:sz w:val="28"/>
                <w:szCs w:val="28"/>
              </w:rPr>
              <w:t>0</w:t>
            </w: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color w:val="auto"/>
                <w:sz w:val="28"/>
                <w:szCs w:val="28"/>
              </w:rPr>
            </w:pPr>
            <w:r>
              <w:rPr>
                <w:color w:val="auto"/>
                <w:sz w:val="28"/>
                <w:szCs w:val="28"/>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kern w:val="0"/>
                <w:sz w:val="28"/>
                <w:szCs w:val="28"/>
              </w:rPr>
            </w:pPr>
            <w:r>
              <w:rPr>
                <w:kern w:val="0"/>
                <w:sz w:val="28"/>
                <w:szCs w:val="28"/>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widowControl/>
              <w:jc w:val="center"/>
              <w:rPr>
                <w:kern w:val="0"/>
                <w:sz w:val="28"/>
                <w:szCs w:val="28"/>
              </w:rPr>
            </w:pPr>
            <w:r>
              <w:rPr>
                <w:kern w:val="0"/>
                <w:sz w:val="28"/>
                <w:szCs w:val="28"/>
              </w:rPr>
              <w:t>0</w:t>
            </w:r>
          </w:p>
        </w:tc>
      </w:tr>
    </w:tbl>
    <w:p>
      <w:pPr>
        <w:pStyle w:val="125"/>
        <w:widowControl/>
        <w:shd w:val="clear" w:color="auto" w:fill="FFFFFF"/>
        <w:spacing w:beforeAutospacing="0" w:afterAutospacing="0" w:line="560" w:lineRule="exact"/>
        <w:ind w:firstLineChars="200" w:firstLine="632"/>
        <w:jc w:val="both"/>
        <w:rPr>
          <w:rFonts w:eastAsia="方正黑体_GBK"/>
          <w:bCs/>
          <w:sz w:val="32"/>
          <w:szCs w:val="32"/>
          <w:shd w:val="clear" w:color="auto" w:fill="FFFFFF"/>
          <w:lang w:bidi="ar-SA"/>
        </w:rPr>
      </w:pPr>
      <w:r>
        <w:rPr>
          <w:rFonts w:eastAsia="方正黑体_GBK"/>
          <w:bCs/>
          <w:sz w:val="32"/>
          <w:szCs w:val="32"/>
          <w:shd w:val="clear" w:color="auto" w:fill="FFFFFF"/>
          <w:lang w:bidi="ar-SA"/>
        </w:rPr>
        <w:t>五、存在的主要问题及改进情况</w:t>
      </w:r>
    </w:p>
    <w:p>
      <w:pPr>
        <w:pStyle w:val="126"/>
        <w:tabs>
          <w:tab w:val="center" w:pos="4153"/>
          <w:tab w:val="right" w:pos="8306"/>
        </w:tabs>
        <w:adjustRightInd/>
        <w:snapToGrid w:val="0"/>
        <w:spacing w:line="560" w:lineRule="exact"/>
        <w:ind w:firstLineChars="200" w:firstLine="616"/>
        <w:contextualSpacing w:val="0"/>
        <w:jc w:val="both"/>
        <w:rPr>
          <w:rFonts w:ascii="方正楷体_GBK" w:eastAsia="方正楷体_GBK" w:hint="eastAsia"/>
          <w:bCs/>
          <w:spacing w:val="-4"/>
          <w:sz w:val="32"/>
          <w:szCs w:val="32"/>
        </w:rPr>
      </w:pPr>
      <w:r>
        <w:rPr>
          <w:rFonts w:ascii="方正楷体_GBK" w:eastAsia="方正楷体_GBK" w:hint="eastAsia"/>
          <w:bCs/>
          <w:spacing w:val="-4"/>
          <w:sz w:val="32"/>
          <w:szCs w:val="32"/>
        </w:rPr>
        <w:t>（一）2023年年报中所提问题整改情况。</w:t>
      </w:r>
    </w:p>
    <w:p>
      <w:pPr>
        <w:pStyle w:val="134"/>
        <w:adjustRightInd w:val="0"/>
        <w:snapToGrid w:val="0"/>
        <w:ind w:firstLineChars="200" w:firstLine="616"/>
      </w:pPr>
      <w:r>
        <w:t>针对2023年太原海关政府信息公开年报中提及的</w:t>
      </w:r>
      <w:r>
        <w:rPr>
          <w:rFonts w:ascii="方正仿宋_GBK" w:hint="eastAsia"/>
        </w:rPr>
        <w:t>“</w:t>
      </w:r>
      <w:r>
        <w:t>基层政务公开标准化规范化工作成果仍需进一步巩固；基层政务公开在助力海关一线执法、为民服务方面，结合仍不够紧密，能效发挥有待进一步提高</w:t>
      </w:r>
      <w:r>
        <w:rPr>
          <w:rFonts w:ascii="方正仿宋_GBK" w:hint="eastAsia"/>
        </w:rPr>
        <w:t>”</w:t>
      </w:r>
      <w:r>
        <w:t>的情况，我关在2024年采取多种形式对基层政务公开执行情况进行了监督和跟踪，征询了来访和办事公众对海关工作的意见建议，并开展了海关服务满意度调查；根据公众的意见建议，完善了相关工作流程，进一步提升了基层海关的服务水平和办事便捷性；对一线窗口人员开展了业务培训，逐步夯实了服务窗口</w:t>
      </w:r>
      <w:r>
        <w:rPr>
          <w:rFonts w:ascii="方正仿宋_GBK" w:hint="eastAsia"/>
        </w:rPr>
        <w:t>“</w:t>
      </w:r>
      <w:r>
        <w:t>接诉即办</w:t>
      </w:r>
      <w:r>
        <w:rPr>
          <w:rFonts w:ascii="方正仿宋_GBK" w:hint="eastAsia"/>
        </w:rPr>
        <w:t>”</w:t>
      </w:r>
      <w:r>
        <w:t>的能力基础，在业务咨询答复工作中尽力实现</w:t>
      </w:r>
      <w:r>
        <w:rPr>
          <w:rFonts w:ascii="方正仿宋_GBK" w:hint="eastAsia"/>
        </w:rPr>
        <w:t>“</w:t>
      </w:r>
      <w:r>
        <w:t>一次性告知</w:t>
      </w:r>
      <w:r>
        <w:rPr>
          <w:rFonts w:ascii="方正仿宋_GBK" w:hint="eastAsia"/>
        </w:rPr>
        <w:t>”“</w:t>
      </w:r>
      <w:r>
        <w:t>一次性说清</w:t>
      </w:r>
      <w:r>
        <w:rPr>
          <w:rFonts w:ascii="方正仿宋_GBK" w:hint="eastAsia"/>
        </w:rPr>
        <w:t>”</w:t>
      </w:r>
      <w:r>
        <w:t>。2024年，太原海关所属各隶属海关的监管服务水平得到了进一步提高。</w:t>
      </w:r>
    </w:p>
    <w:p>
      <w:pPr>
        <w:pStyle w:val="126"/>
        <w:tabs>
          <w:tab w:val="center" w:pos="4153"/>
          <w:tab w:val="right" w:pos="8306"/>
        </w:tabs>
        <w:adjustRightInd/>
        <w:snapToGrid w:val="0"/>
        <w:spacing w:line="560" w:lineRule="exact"/>
        <w:ind w:firstLineChars="200" w:firstLine="616"/>
        <w:contextualSpacing w:val="0"/>
        <w:jc w:val="both"/>
        <w:rPr>
          <w:rFonts w:ascii="方正楷体_GBK" w:eastAsia="方正楷体_GBK" w:hint="eastAsia"/>
          <w:spacing w:val="-4"/>
          <w:sz w:val="32"/>
          <w:szCs w:val="32"/>
        </w:rPr>
      </w:pPr>
      <w:r>
        <w:rPr>
          <w:rFonts w:ascii="方正楷体_GBK" w:eastAsia="方正楷体_GBK" w:hint="eastAsia"/>
          <w:bCs/>
          <w:spacing w:val="-4"/>
          <w:sz w:val="32"/>
          <w:szCs w:val="32"/>
        </w:rPr>
        <w:t>（二）目前存在问题。</w:t>
      </w:r>
    </w:p>
    <w:p>
      <w:pPr>
        <w:pStyle w:val="135"/>
        <w:adjustRightInd w:val="0"/>
        <w:snapToGrid w:val="0"/>
        <w:ind w:firstLineChars="200" w:firstLine="616"/>
      </w:pPr>
      <w:r>
        <w:t>目前，太原海关所属各隶属海关服务大厅的建设仍需进一步完善，</w:t>
      </w:r>
      <w:r>
        <w:t>个别</w:t>
      </w:r>
      <w:r>
        <w:t>政务公开专区</w:t>
      </w:r>
      <w:r>
        <w:t>还存在</w:t>
      </w:r>
      <w:r>
        <w:t>展示内容不</w:t>
      </w:r>
      <w:r>
        <w:t>贴合业务实际需要、不易查询使用、不全面不及时的情况；部分</w:t>
      </w:r>
      <w:r>
        <w:t>设施摆放</w:t>
      </w:r>
      <w:r>
        <w:t>还存在随意不规范的情况；部分</w:t>
      </w:r>
      <w:r>
        <w:t>设备</w:t>
      </w:r>
      <w:r>
        <w:t>存在使用年限久，反应卡顿</w:t>
      </w:r>
      <w:r>
        <w:t>使用</w:t>
      </w:r>
      <w:r>
        <w:t>不便捷的情况</w:t>
      </w:r>
      <w:r>
        <w:t>，距离充分满足公众</w:t>
      </w:r>
      <w:r>
        <w:t>需求和期待</w:t>
      </w:r>
      <w:r>
        <w:t>还有差距。</w:t>
      </w:r>
    </w:p>
    <w:p>
      <w:pPr>
        <w:pStyle w:val="135"/>
        <w:adjustRightInd w:val="0"/>
        <w:snapToGrid w:val="0"/>
        <w:ind w:firstLineChars="200" w:firstLine="616"/>
        <w:rPr>
          <w:rFonts w:eastAsia="方正黑体_GBK"/>
          <w:bCs/>
          <w:color w:val="auto"/>
          <w:sz w:val="32"/>
          <w:szCs w:val="32"/>
          <w:shd w:val="clear" w:color="auto" w:fill="FFFFFF"/>
          <w:lang w:bidi="ar-SA"/>
        </w:rPr>
      </w:pPr>
      <w:r>
        <w:rPr>
          <w:rFonts w:eastAsia="方正黑体_GBK"/>
          <w:bCs/>
          <w:color w:val="auto"/>
          <w:sz w:val="32"/>
          <w:szCs w:val="32"/>
          <w:shd w:val="clear" w:color="auto" w:fill="FFFFFF"/>
          <w:lang w:bidi="ar-SA"/>
        </w:rPr>
        <w:t>六、其他需要报告的事项</w:t>
      </w:r>
    </w:p>
    <w:p>
      <w:pPr>
        <w:pStyle w:val="136"/>
        <w:adjustRightInd w:val="0"/>
        <w:snapToGrid w:val="0"/>
        <w:ind w:firstLineChars="200" w:firstLine="616"/>
      </w:pPr>
      <w:r>
        <w:t>2024年，太原海关未收取信息处理费。</w:t>
      </w:r>
      <w:bookmarkStart w:id="0" w:name="_GoBack"/>
      <w:bookmarkEnd w:id="0"/>
    </w:p>
    <w:sectPr>
      <w:pgSz w:w="11907" w:h="16840"/>
      <w:pgMar w:top="2098" w:right="1474" w:bottom="1985" w:left="1588" w:header="1814" w:footer="1474" w:gutter="0"/>
      <w:pgNumType w:start="0"/>
      <w:titlePg/>
      <w:docGrid w:type="linesAndChars" w:linePitch="580" w:charSpace="-841"/>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宋体">
    <w:panose1 w:val="02010600030101010101"/>
    <w:charset w:val="86"/>
    <w:family w:val="auto"/>
    <w:pitch w:val="variable"/>
    <w:sig w:usb0="00000003" w:usb1="080E0000" w:usb2="00000000" w:usb3="00000000" w:csb0="00040001" w:csb1="00000000"/>
  </w:font>
  <w:font w:name="方正仿宋_GBK">
    <w:panose1 w:val="03000509000000000000"/>
    <w:charset w:val="86"/>
    <w:family w:val="script"/>
    <w:pitch w:val="variable"/>
    <w:sig w:usb0="00000001" w:usb1="080E0000" w:usb2="00000000" w:usb3="00000000" w:csb0="00040000" w:csb1="00000000"/>
  </w:font>
  <w:font w:name="方正黑体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楷体">
    <w:panose1 w:val="02010609060101010101"/>
    <w:charset w:val="86"/>
    <w:family w:val="auto"/>
    <w:pitch w:val="variable"/>
    <w:sig w:usb0="800002BF" w:usb1="38CF7CFA"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 w:name="黑体">
    <w:panose1 w:val="02010609060101010101"/>
    <w:charset w:val="86"/>
    <w:family w:val="auto"/>
    <w:pitch w:val="variable"/>
    <w:sig w:usb0="800002BF" w:usb1="38CF7CFA"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69"/>
  <w:doNotDisplayPageBoundaries/>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32"/>
      <w:lang w:val="en-US" w:eastAsia="zh-CN" w:bidi="ar-SA"/>
    </w:rPr>
  </w:style>
  <w:style w:type="paragraph" w:styleId="1">
    <w:name w:val="heading 1"/>
    <w:basedOn w:val="0"/>
    <w:next w:val="0"/>
    <w:pPr>
      <w:keepNext/>
      <w:keepLines/>
      <w:spacing w:before="340" w:after="330" w:line="578" w:lineRule="auto"/>
      <w:outlineLvl w:val="0"/>
    </w:pPr>
    <w:rPr>
      <w:b/>
      <w:kern w:val="44"/>
      <w:sz w:val="44"/>
    </w:rPr>
  </w:style>
  <w:style w:type="paragraph" w:styleId="2">
    <w:name w:val="heading 2"/>
    <w:basedOn w:val="0"/>
    <w:next w:val="0"/>
    <w:pPr>
      <w:keepNext/>
      <w:keepLines/>
      <w:spacing w:before="260" w:after="260" w:line="415" w:lineRule="auto"/>
      <w:outlineLvl w:val="1"/>
    </w:pPr>
    <w:rPr>
      <w:rFonts w:ascii="Arial" w:eastAsia="黑体" w:hAnsi="Arial"/>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21">
    <w:name w:val="toc 2"/>
    <w:basedOn w:val="0"/>
    <w:autoRedefine/>
    <w:next w:val="0"/>
    <w:pPr>
      <w:ind w:left="420"/>
    </w:pPr>
  </w:style>
  <w:style w:type="paragraph" w:styleId="22">
    <w:name w:val="toc 3"/>
    <w:basedOn w:val="0"/>
    <w:autoRedefine/>
    <w:next w:val="0"/>
    <w:pPr>
      <w:ind w:left="840"/>
    </w:pPr>
  </w:style>
  <w:style w:type="paragraph" w:styleId="23">
    <w:name w:val="toc 4"/>
    <w:basedOn w:val="0"/>
    <w:autoRedefine/>
    <w:next w:val="0"/>
    <w:pPr>
      <w:ind w:left="1260"/>
    </w:pPr>
  </w:style>
  <w:style w:type="paragraph" w:styleId="24">
    <w:name w:val="toc 5"/>
    <w:basedOn w:val="0"/>
    <w:autoRedefine/>
    <w:next w:val="0"/>
    <w:pPr>
      <w:ind w:left="1680"/>
    </w:pPr>
  </w:style>
  <w:style w:type="paragraph" w:styleId="25">
    <w:name w:val="toc 6"/>
    <w:basedOn w:val="0"/>
    <w:autoRedefine/>
    <w:next w:val="0"/>
    <w:pPr>
      <w:ind w:left="2100"/>
    </w:pPr>
  </w:style>
  <w:style w:type="paragraph" w:styleId="26">
    <w:name w:val="toc 7"/>
    <w:basedOn w:val="0"/>
    <w:autoRedefine/>
    <w:next w:val="0"/>
    <w:pPr>
      <w:ind w:left="2520"/>
    </w:pPr>
  </w:style>
  <w:style w:type="paragraph" w:styleId="27">
    <w:name w:val="toc 8"/>
    <w:basedOn w:val="0"/>
    <w:autoRedefine/>
    <w:next w:val="0"/>
    <w:pPr>
      <w:ind w:left="2940"/>
    </w:pPr>
  </w:style>
  <w:style w:type="paragraph" w:styleId="28">
    <w:name w:val="toc 9"/>
    <w:basedOn w:val="0"/>
    <w:autoRedefine/>
    <w:next w:val="0"/>
    <w:pPr>
      <w:ind w:left="3360"/>
    </w:pPr>
  </w:style>
  <w:style w:type="paragraph" w:styleId="29">
    <w:name w:val="Normal Indent"/>
    <w:basedOn w:val="0"/>
    <w:pPr>
      <w:ind w:firstLine="420"/>
    </w:pPr>
  </w:style>
  <w:style w:type="paragraph" w:styleId="30">
    <w:name w:val="footnote text"/>
    <w:basedOn w:val="0"/>
    <w:pPr>
      <w:snapToGrid w:val="0"/>
      <w:jc w:val="left"/>
    </w:pPr>
    <w:rPr>
      <w:sz w:val="18"/>
    </w:rPr>
  </w:style>
  <w:style w:type="paragraph" w:styleId="31">
    <w:name w:val="annotation text"/>
    <w:basedOn w:val="0"/>
    <w:pPr>
      <w:jc w:val="left"/>
    </w:pPr>
  </w:style>
  <w:style w:type="paragraph" w:styleId="32">
    <w:name w:val="header"/>
    <w:basedOn w:val="0"/>
    <w:pPr>
      <w:pBdr>
        <w:bottom w:val="single" w:sz="6" w:space="1" w:color="auto"/>
      </w:pBdr>
      <w:tabs>
        <w:tab w:val="center" w:pos="4153"/>
        <w:tab w:val="right" w:pos="8307"/>
      </w:tabs>
      <w:snapToGrid w:val="0"/>
      <w:jc w:val="center"/>
    </w:pPr>
    <w:rPr>
      <w:sz w:val="18"/>
    </w:rPr>
  </w:style>
  <w:style w:type="paragraph" w:styleId="33">
    <w:name w:val="footer"/>
    <w:basedOn w:val="0"/>
    <w:pPr>
      <w:tabs>
        <w:tab w:val="center" w:pos="4153"/>
        <w:tab w:val="right" w:pos="8307"/>
      </w:tabs>
      <w:snapToGrid w:val="0"/>
      <w:jc w:val="left"/>
    </w:pPr>
    <w:rPr>
      <w:sz w:val="18"/>
    </w:rPr>
  </w:style>
  <w:style w:type="character" w:styleId="39">
    <w:name w:val="footnote reference"/>
    <w:basedOn w:val="10"/>
    <w:rPr>
      <w:vertAlign w:val="superscript"/>
    </w:rPr>
  </w:style>
  <w:style w:type="character" w:styleId="40">
    <w:name w:val="annotation reference"/>
    <w:basedOn w:val="10"/>
    <w:rPr>
      <w:sz w:val="21"/>
    </w:rPr>
  </w:style>
  <w:style w:type="paragraph" w:customStyle="1" w:styleId="123">
    <w:name w:val="样式 6 三号"/>
    <w:next w:val="2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560" w:lineRule="exact"/>
      <w:ind w:left="0" w:right="0" w:firstLine="0"/>
      <w:contextualSpacing w:val="0"/>
      <w:jc w:val="both"/>
      <w:textAlignment w:val="auto"/>
      <w:outlineLvl w:val="9"/>
    </w:pPr>
    <w:rPr>
      <w:rFonts w:ascii="Times New Roman" w:eastAsia="方正仿宋_GBK" w:cs="Times New Roman" w:hAnsi="Times New Roman"/>
      <w:snapToGrid/>
      <w:color w:val="auto"/>
      <w:spacing w:val="-4"/>
      <w:w w:val="100"/>
      <w:kern w:val="2"/>
      <w:position w:val="0"/>
      <w:sz w:val="32"/>
      <w:szCs w:val="28"/>
      <w:u w:val="none" w:color="auto"/>
      <w:bdr w:val="none" w:sz="0" w:space="0" w:color="auto"/>
      <w:vertAlign w:val="baseline"/>
      <w:em w:val="none"/>
      <w:lang w:val="en-US" w:eastAsia="zh-CN" w:bidi="ar-SA"/>
    </w:rPr>
  </w:style>
  <w:style w:type="paragraph" w:customStyle="1" w:styleId="124">
    <w:name w:val="样式 15 三号"/>
    <w:next w:val="32"/>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125">
    <w:name w:val="样式 小四"/>
    <w:next w:val="39"/>
    <w:pPr>
      <w:widowControl w:val="0"/>
      <w:spacing w:beforeAutospacing="1" w:afterAutospacing="1"/>
      <w:jc w:val="left"/>
    </w:pPr>
    <w:rPr>
      <w:rFonts w:ascii="Times New Roman" w:eastAsia="宋体" w:cs="Times New Roman" w:hAnsi="Times New Roman"/>
      <w:kern w:val="0"/>
      <w:sz w:val="24"/>
      <w:szCs w:val="30"/>
      <w:lang w:val="en-US" w:eastAsia="zh-CN" w:bidi="ar-SA"/>
    </w:rPr>
  </w:style>
  <w:style w:type="paragraph" w:customStyle="1" w:styleId="126">
    <w:name w:val="样式 1 小五"/>
    <w:next w:val="40"/>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paragraph" w:customStyle="1" w:styleId="127">
    <w:name w:val="样式 50 三号"/>
    <w:next w:val="21"/>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128">
    <w:name w:val="样式 小三"/>
    <w:next w:val="23"/>
    <w:pPr>
      <w:widowControl w:val="0"/>
      <w:jc w:val="both"/>
    </w:pPr>
    <w:rPr>
      <w:rFonts w:ascii="Times New Roman" w:eastAsia="宋体" w:cs="Times New Roman" w:hAnsi="Times New Roman"/>
      <w:kern w:val="2"/>
      <w:sz w:val="30"/>
      <w:szCs w:val="30"/>
      <w:lang w:val="en-US" w:eastAsia="zh-CN" w:bidi="ar-SA"/>
    </w:rPr>
  </w:style>
  <w:style w:type="paragraph" w:customStyle="1" w:styleId="129">
    <w:name w:val="样式 5 小三"/>
    <w:next w:val="27"/>
    <w:pPr>
      <w:widowControl w:val="0"/>
      <w:jc w:val="both"/>
    </w:pPr>
    <w:rPr>
      <w:rFonts w:ascii="Times New Roman" w:eastAsia="宋体" w:cs="Times New Roman" w:hAnsi="Times New Roman"/>
      <w:kern w:val="2"/>
      <w:sz w:val="30"/>
      <w:szCs w:val="30"/>
      <w:lang w:val="en-US" w:eastAsia="zh-CN" w:bidi="ar-SA"/>
    </w:rPr>
  </w:style>
  <w:style w:type="paragraph" w:customStyle="1" w:styleId="130">
    <w:name w:val="样式 16 小三"/>
    <w:next w:val="30"/>
    <w:pPr>
      <w:widowControl w:val="0"/>
      <w:jc w:val="both"/>
    </w:pPr>
    <w:rPr>
      <w:rFonts w:ascii="Times New Roman" w:eastAsia="宋体" w:cs="Times New Roman" w:hAnsi="Times New Roman"/>
      <w:kern w:val="2"/>
      <w:sz w:val="30"/>
      <w:szCs w:val="30"/>
      <w:lang w:val="en-US" w:eastAsia="zh-CN" w:bidi="ar-SA"/>
    </w:rPr>
  </w:style>
  <w:style w:type="paragraph" w:customStyle="1" w:styleId="131">
    <w:name w:val="样式 8 小三"/>
    <w:next w:val="28"/>
    <w:pPr>
      <w:widowControl w:val="0"/>
      <w:jc w:val="both"/>
    </w:pPr>
    <w:rPr>
      <w:rFonts w:ascii="Times New Roman" w:eastAsia="宋体" w:cs="Times New Roman" w:hAnsi="Times New Roman"/>
      <w:kern w:val="2"/>
      <w:sz w:val="30"/>
      <w:szCs w:val="30"/>
      <w:lang w:val="en-US" w:eastAsia="zh-CN" w:bidi="ar-SA"/>
    </w:rPr>
  </w:style>
  <w:style w:type="paragraph" w:customStyle="1" w:styleId="132">
    <w:name w:val="样式 17 小三"/>
    <w:next w:val="31"/>
    <w:pPr>
      <w:widowControl w:val="0"/>
      <w:jc w:val="both"/>
    </w:pPr>
    <w:rPr>
      <w:rFonts w:ascii="Times New Roman" w:eastAsia="宋体" w:cs="Times New Roman" w:hAnsi="Times New Roman"/>
      <w:kern w:val="2"/>
      <w:sz w:val="30"/>
      <w:szCs w:val="30"/>
      <w:lang w:val="en-US" w:eastAsia="zh-CN" w:bidi="ar-SA"/>
    </w:rPr>
  </w:style>
  <w:style w:type="paragraph" w:customStyle="1" w:styleId="133">
    <w:name w:val="样式 12 小三"/>
    <w:next w:val="29"/>
    <w:pPr>
      <w:widowControl w:val="0"/>
      <w:jc w:val="both"/>
    </w:pPr>
    <w:rPr>
      <w:rFonts w:ascii="Times New Roman" w:eastAsia="宋体" w:cs="Times New Roman" w:hAnsi="Times New Roman"/>
      <w:kern w:val="2"/>
      <w:sz w:val="30"/>
      <w:szCs w:val="30"/>
      <w:lang w:val="en-US" w:eastAsia="zh-CN" w:bidi="ar-SA"/>
    </w:rPr>
  </w:style>
  <w:style w:type="paragraph" w:customStyle="1" w:styleId="134">
    <w:name w:val="样式 8 三号"/>
    <w:next w:val="26"/>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135">
    <w:name w:val="样式 13 三号"/>
    <w:next w:val="22"/>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136">
    <w:name w:val="样式 7 三号"/>
    <w:next w:val="25"/>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TotalTime>
  <Application>Yozo_Office</Application>
  <Pages>8</Pages>
  <Words>2671</Words>
  <Characters>2780</Characters>
  <Lines>439</Lines>
  <Paragraphs>312</Paragraphs>
  <CharactersWithSpaces>2780</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Microsoft</dc:creator>
  <cp:lastModifiedBy>Microsoft</cp:lastModifiedBy>
  <cp:revision>1</cp:revision>
  <dcterms:created xsi:type="dcterms:W3CDTF">2025-02-26T08:34:58Z</dcterms:created>
  <dcterms:modified xsi:type="dcterms:W3CDTF">2025-02-26T08:35:59Z</dcterms:modified>
</cp:coreProperties>
</file>